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1D" w:rsidRDefault="009C446F" w:rsidP="009C446F">
      <w:pPr>
        <w:jc w:val="center"/>
        <w:rPr>
          <w:rFonts w:ascii="Arial" w:hAnsi="Arial" w:cs="Arial"/>
          <w:b/>
          <w:sz w:val="28"/>
          <w:szCs w:val="28"/>
        </w:rPr>
      </w:pPr>
      <w:r w:rsidRPr="009C446F">
        <w:rPr>
          <w:rFonts w:ascii="Arial" w:hAnsi="Arial" w:cs="Arial"/>
          <w:b/>
          <w:sz w:val="28"/>
          <w:szCs w:val="28"/>
        </w:rPr>
        <w:t>ICH-GCP Checklist for Investigators</w:t>
      </w:r>
      <w:r w:rsidR="00812CD5">
        <w:rPr>
          <w:rFonts w:ascii="Arial" w:hAnsi="Arial" w:cs="Arial"/>
          <w:b/>
          <w:sz w:val="28"/>
          <w:szCs w:val="28"/>
        </w:rPr>
        <w:t xml:space="preserve"> for Clinical Trials</w:t>
      </w:r>
    </w:p>
    <w:p w:rsidR="009C446F" w:rsidRPr="009C446F" w:rsidRDefault="009C446F" w:rsidP="00812CD5">
      <w:pPr>
        <w:jc w:val="center"/>
        <w:rPr>
          <w:rFonts w:ascii="Arial" w:hAnsi="Arial" w:cs="Arial"/>
          <w:b/>
        </w:rPr>
      </w:pPr>
      <w:r>
        <w:rPr>
          <w:rFonts w:ascii="Arial" w:hAnsi="Arial" w:cs="Arial"/>
          <w:b/>
        </w:rPr>
        <w:t xml:space="preserve">Use this checklist to confirm your responsibilities as a study investigator in a clinical trial. These items outline the requirements of ICH-GCP </w:t>
      </w:r>
      <w:proofErr w:type="gramStart"/>
      <w:r>
        <w:rPr>
          <w:rFonts w:ascii="Arial" w:hAnsi="Arial" w:cs="Arial"/>
          <w:b/>
        </w:rPr>
        <w:t>E(</w:t>
      </w:r>
      <w:proofErr w:type="gramEnd"/>
      <w:r>
        <w:rPr>
          <w:rFonts w:ascii="Arial" w:hAnsi="Arial" w:cs="Arial"/>
          <w:b/>
        </w:rPr>
        <w:t>6).</w:t>
      </w:r>
    </w:p>
    <w:tbl>
      <w:tblPr>
        <w:tblStyle w:val="TableGrid"/>
        <w:tblW w:w="0" w:type="auto"/>
        <w:tblLook w:val="04A0" w:firstRow="1" w:lastRow="0" w:firstColumn="1" w:lastColumn="0" w:noHBand="0" w:noVBand="1"/>
      </w:tblPr>
      <w:tblGrid>
        <w:gridCol w:w="9018"/>
        <w:gridCol w:w="558"/>
      </w:tblGrid>
      <w:tr w:rsidR="009635EB" w:rsidTr="00355FCC">
        <w:trPr>
          <w:trHeight w:val="395"/>
        </w:trPr>
        <w:tc>
          <w:tcPr>
            <w:tcW w:w="9576" w:type="dxa"/>
            <w:gridSpan w:val="2"/>
            <w:shd w:val="clear" w:color="auto" w:fill="B6DDE8" w:themeFill="accent5" w:themeFillTint="66"/>
          </w:tcPr>
          <w:p w:rsidR="009635EB" w:rsidRPr="009635EB" w:rsidRDefault="009635EB">
            <w:r>
              <w:t>Provide to the IRB and/or have documentation of:</w:t>
            </w:r>
          </w:p>
        </w:tc>
      </w:tr>
      <w:tr w:rsidR="009C446F" w:rsidTr="00BB52B4">
        <w:trPr>
          <w:trHeight w:val="935"/>
        </w:trPr>
        <w:tc>
          <w:tcPr>
            <w:tcW w:w="9018" w:type="dxa"/>
          </w:tcPr>
          <w:p w:rsidR="009C446F" w:rsidRDefault="009C446F" w:rsidP="00355FCC">
            <w:r>
              <w:t xml:space="preserve">Submit current CV or other relevant documentation to the IRB to demonstrate </w:t>
            </w:r>
            <w:r w:rsidR="00355FCC">
              <w:t xml:space="preserve">investigators’ </w:t>
            </w:r>
            <w:r>
              <w:t>qualifications</w:t>
            </w:r>
            <w:r w:rsidR="00355FCC">
              <w:t>.</w:t>
            </w:r>
          </w:p>
        </w:tc>
        <w:tc>
          <w:tcPr>
            <w:tcW w:w="558" w:type="dxa"/>
          </w:tcPr>
          <w:p w:rsidR="009C446F" w:rsidRDefault="009C446F"/>
        </w:tc>
      </w:tr>
      <w:tr w:rsidR="00BB52B4" w:rsidTr="009C446F">
        <w:tc>
          <w:tcPr>
            <w:tcW w:w="9018" w:type="dxa"/>
          </w:tcPr>
          <w:p w:rsidR="00BB52B4" w:rsidRDefault="00BB52B4" w:rsidP="00BB52B4">
            <w:r>
              <w:t xml:space="preserve">The </w:t>
            </w:r>
            <w:r w:rsidR="00AD544D">
              <w:t xml:space="preserve">Principal Investigator </w:t>
            </w:r>
            <w:r>
              <w:t xml:space="preserve">should </w:t>
            </w:r>
            <w:r w:rsidR="00AD544D">
              <w:t xml:space="preserve">create and </w:t>
            </w:r>
            <w:r>
              <w:t xml:space="preserve">maintain a list of appropriately qualified persons to whom they have delegated significant clinical trial related duties. </w:t>
            </w:r>
          </w:p>
          <w:p w:rsidR="00BB52B4" w:rsidRDefault="00BB52B4" w:rsidP="007F3D2A"/>
        </w:tc>
        <w:tc>
          <w:tcPr>
            <w:tcW w:w="558" w:type="dxa"/>
          </w:tcPr>
          <w:p w:rsidR="00BB52B4" w:rsidRDefault="00BB52B4"/>
        </w:tc>
      </w:tr>
      <w:tr w:rsidR="002803F3" w:rsidTr="009C446F">
        <w:tc>
          <w:tcPr>
            <w:tcW w:w="9018" w:type="dxa"/>
          </w:tcPr>
          <w:p w:rsidR="002803F3" w:rsidRDefault="002803F3" w:rsidP="002803F3">
            <w:pPr>
              <w:rPr>
                <w:shd w:val="clear" w:color="auto" w:fill="FFFFFF"/>
              </w:rPr>
            </w:pPr>
            <w:r>
              <w:rPr>
                <w:shd w:val="clear" w:color="auto" w:fill="FFFFFF"/>
              </w:rPr>
              <w:t>P</w:t>
            </w:r>
            <w:r w:rsidRPr="00A26D5E">
              <w:rPr>
                <w:shd w:val="clear" w:color="auto" w:fill="FFFFFF"/>
              </w:rPr>
              <w:t xml:space="preserve">rovide the IRB </w:t>
            </w:r>
            <w:r w:rsidR="00AD0A5B">
              <w:rPr>
                <w:shd w:val="clear" w:color="auto" w:fill="FFFFFF"/>
              </w:rPr>
              <w:t xml:space="preserve">with </w:t>
            </w:r>
            <w:r w:rsidRPr="00A26D5E">
              <w:rPr>
                <w:shd w:val="clear" w:color="auto" w:fill="FFFFFF"/>
              </w:rPr>
              <w:t>a current copy of the Investigator's Brochure. If the Investigator's Brochure is updated during the trial, the investigator/institution should supply a copy of the updated Investigator’s Brochure to the IRB. </w:t>
            </w:r>
          </w:p>
          <w:p w:rsidR="002803F3" w:rsidRDefault="002803F3" w:rsidP="00BB52B4"/>
        </w:tc>
        <w:tc>
          <w:tcPr>
            <w:tcW w:w="558" w:type="dxa"/>
          </w:tcPr>
          <w:p w:rsidR="002803F3" w:rsidRDefault="002803F3"/>
        </w:tc>
      </w:tr>
      <w:tr w:rsidR="009635EB" w:rsidTr="009635EB">
        <w:tc>
          <w:tcPr>
            <w:tcW w:w="9576" w:type="dxa"/>
            <w:gridSpan w:val="2"/>
            <w:shd w:val="clear" w:color="auto" w:fill="B6DDE8" w:themeFill="accent5" w:themeFillTint="66"/>
          </w:tcPr>
          <w:p w:rsidR="009635EB" w:rsidRPr="009635EB" w:rsidRDefault="002803F3">
            <w:r>
              <w:t>Study Design:</w:t>
            </w:r>
          </w:p>
        </w:tc>
      </w:tr>
      <w:tr w:rsidR="008B3BE5" w:rsidTr="009C446F">
        <w:tc>
          <w:tcPr>
            <w:tcW w:w="9018" w:type="dxa"/>
          </w:tcPr>
          <w:p w:rsidR="008B3BE5" w:rsidRDefault="008B3BE5" w:rsidP="008B3BE5">
            <w:pPr>
              <w:rPr>
                <w:rFonts w:eastAsia="Times New Roman"/>
                <w:b/>
                <w:bCs/>
                <w:bdr w:val="none" w:sz="0" w:space="0" w:color="auto" w:frame="1"/>
                <w:shd w:val="clear" w:color="auto" w:fill="FFFFFF"/>
              </w:rPr>
            </w:pPr>
            <w:r w:rsidRPr="00A26D5E">
              <w:rPr>
                <w:rFonts w:eastAsia="Times New Roman"/>
                <w:shd w:val="clear" w:color="auto" w:fill="FFFFFF"/>
              </w:rPr>
              <w:t>The investigator should ensure that all persons assisting with the trial are adequately informed about the protocol, the investigational product(s), and their trial-related duties and functions.</w:t>
            </w:r>
            <w:r w:rsidRPr="00A26D5E">
              <w:rPr>
                <w:rFonts w:eastAsia="Times New Roman"/>
                <w:b/>
                <w:bCs/>
                <w:bdr w:val="none" w:sz="0" w:space="0" w:color="auto" w:frame="1"/>
                <w:shd w:val="clear" w:color="auto" w:fill="FFFFFF"/>
              </w:rPr>
              <w:t xml:space="preserve"> </w:t>
            </w:r>
          </w:p>
          <w:p w:rsidR="008B3BE5" w:rsidRPr="006E43BF" w:rsidRDefault="008B3BE5" w:rsidP="00902317">
            <w:pPr>
              <w:rPr>
                <w:rFonts w:eastAsia="Times New Roman"/>
                <w:shd w:val="clear" w:color="auto" w:fill="FFFFFF"/>
              </w:rPr>
            </w:pPr>
          </w:p>
        </w:tc>
        <w:tc>
          <w:tcPr>
            <w:tcW w:w="558" w:type="dxa"/>
          </w:tcPr>
          <w:p w:rsidR="008B3BE5" w:rsidRDefault="008B3BE5"/>
        </w:tc>
      </w:tr>
      <w:tr w:rsidR="00902317" w:rsidTr="009C446F">
        <w:tc>
          <w:tcPr>
            <w:tcW w:w="9018" w:type="dxa"/>
          </w:tcPr>
          <w:p w:rsidR="00902317" w:rsidRDefault="00902317" w:rsidP="00902317">
            <w:pPr>
              <w:rPr>
                <w:rFonts w:eastAsia="Times New Roman"/>
                <w:shd w:val="clear" w:color="auto" w:fill="FFFFFF"/>
              </w:rPr>
            </w:pPr>
            <w:r w:rsidRPr="006E43BF">
              <w:rPr>
                <w:rFonts w:eastAsia="Times New Roman"/>
                <w:shd w:val="clear" w:color="auto" w:fill="FFFFFF"/>
              </w:rPr>
              <w:t>The investigator should have sufficient time to properly conduct and complete the trial within the agreed trial period</w:t>
            </w:r>
            <w:r>
              <w:rPr>
                <w:rFonts w:eastAsia="Times New Roman"/>
                <w:shd w:val="clear" w:color="auto" w:fill="FFFFFF"/>
              </w:rPr>
              <w:t>.</w:t>
            </w:r>
          </w:p>
          <w:p w:rsidR="00902317" w:rsidRDefault="00902317" w:rsidP="007F3D2A"/>
        </w:tc>
        <w:tc>
          <w:tcPr>
            <w:tcW w:w="558" w:type="dxa"/>
          </w:tcPr>
          <w:p w:rsidR="00902317" w:rsidRDefault="00902317"/>
        </w:tc>
      </w:tr>
      <w:tr w:rsidR="00902317" w:rsidTr="009C446F">
        <w:tc>
          <w:tcPr>
            <w:tcW w:w="9018" w:type="dxa"/>
          </w:tcPr>
          <w:p w:rsidR="00902317" w:rsidRDefault="00902317" w:rsidP="00902317">
            <w:pPr>
              <w:rPr>
                <w:rFonts w:eastAsia="Times New Roman"/>
                <w:shd w:val="clear" w:color="auto" w:fill="FFFFFF"/>
              </w:rPr>
            </w:pPr>
            <w:r w:rsidRPr="00A26D5E">
              <w:rPr>
                <w:rFonts w:eastAsia="Times New Roman"/>
                <w:shd w:val="clear" w:color="auto" w:fill="FFFFFF"/>
              </w:rPr>
              <w:t>The investigator should be able to demonstrate (e.g., based on retrospective data) a potential for recruiting the required number of suitable subjects within the agreed recruitment period. </w:t>
            </w:r>
          </w:p>
          <w:p w:rsidR="00902317" w:rsidRDefault="00902317" w:rsidP="007F3D2A"/>
        </w:tc>
        <w:tc>
          <w:tcPr>
            <w:tcW w:w="558" w:type="dxa"/>
          </w:tcPr>
          <w:p w:rsidR="00902317" w:rsidRDefault="00902317"/>
        </w:tc>
      </w:tr>
      <w:tr w:rsidR="009C446F" w:rsidTr="009C446F">
        <w:tc>
          <w:tcPr>
            <w:tcW w:w="9018" w:type="dxa"/>
          </w:tcPr>
          <w:p w:rsidR="007F3D2A" w:rsidRDefault="007F3D2A" w:rsidP="007F3D2A">
            <w:r>
              <w:t>Investigator(s) is familiar with appropriate use of the investigational product as described in the protocol and/or Investigator’s Brochure, or in other product information</w:t>
            </w:r>
          </w:p>
          <w:p w:rsidR="009C446F" w:rsidRDefault="009C446F"/>
        </w:tc>
        <w:tc>
          <w:tcPr>
            <w:tcW w:w="558" w:type="dxa"/>
          </w:tcPr>
          <w:p w:rsidR="009C446F" w:rsidRDefault="009C446F"/>
        </w:tc>
      </w:tr>
      <w:tr w:rsidR="009C446F" w:rsidTr="009C446F">
        <w:tc>
          <w:tcPr>
            <w:tcW w:w="9018" w:type="dxa"/>
          </w:tcPr>
          <w:p w:rsidR="007F3D2A" w:rsidRDefault="007F3D2A" w:rsidP="007F3D2A">
            <w:r>
              <w:t>A qualified physician (or dentist, as applicable), who is a researcher for the clinical trial, is responsible for all clinical trial related medical (or dental) decisions</w:t>
            </w:r>
          </w:p>
          <w:p w:rsidR="009C446F" w:rsidRDefault="009C446F"/>
        </w:tc>
        <w:tc>
          <w:tcPr>
            <w:tcW w:w="558" w:type="dxa"/>
          </w:tcPr>
          <w:p w:rsidR="009C446F" w:rsidRDefault="009C446F"/>
        </w:tc>
      </w:tr>
      <w:tr w:rsidR="009C446F" w:rsidTr="009C446F">
        <w:tc>
          <w:tcPr>
            <w:tcW w:w="9018" w:type="dxa"/>
          </w:tcPr>
          <w:p w:rsidR="007F3D2A" w:rsidRDefault="007F3D2A" w:rsidP="007F3D2A">
            <w:r>
              <w:t>The researcher should follow the protocol’s randomization procedure, and ensures that any blinding is only broken in accordance with the protocol. Any premature un-blinding should be documented and explained to the sponsor.</w:t>
            </w:r>
          </w:p>
          <w:p w:rsidR="009C446F" w:rsidRDefault="009C446F"/>
        </w:tc>
        <w:tc>
          <w:tcPr>
            <w:tcW w:w="558" w:type="dxa"/>
          </w:tcPr>
          <w:p w:rsidR="009C446F" w:rsidRDefault="009C446F"/>
        </w:tc>
      </w:tr>
      <w:tr w:rsidR="005F1290" w:rsidTr="009C446F">
        <w:tc>
          <w:tcPr>
            <w:tcW w:w="9018" w:type="dxa"/>
          </w:tcPr>
          <w:p w:rsidR="005F1290" w:rsidRDefault="005F1290" w:rsidP="005F1290">
            <w:r>
              <w:t>The researcher ensures the accuracy, completeness, and legibility of all data submitted to the sponsor.</w:t>
            </w:r>
          </w:p>
          <w:p w:rsidR="005F1290" w:rsidRDefault="005F1290" w:rsidP="007F3D2A"/>
        </w:tc>
        <w:tc>
          <w:tcPr>
            <w:tcW w:w="558" w:type="dxa"/>
          </w:tcPr>
          <w:p w:rsidR="005F1290" w:rsidRDefault="005F1290"/>
        </w:tc>
      </w:tr>
      <w:tr w:rsidR="005F1290" w:rsidTr="009C446F">
        <w:tc>
          <w:tcPr>
            <w:tcW w:w="9018" w:type="dxa"/>
          </w:tcPr>
          <w:p w:rsidR="005F1290" w:rsidRDefault="005F1290" w:rsidP="005F1290">
            <w:pPr>
              <w:rPr>
                <w:rFonts w:eastAsia="Times New Roman"/>
                <w:shd w:val="clear" w:color="auto" w:fill="FFFFFF"/>
              </w:rPr>
            </w:pPr>
            <w:r w:rsidRPr="006E43BF">
              <w:rPr>
                <w:rFonts w:eastAsia="Times New Roman"/>
                <w:shd w:val="clear" w:color="auto" w:fill="FFFFFF"/>
              </w:rPr>
              <w:t xml:space="preserve">If the investigator/institution retains the services of any individual or party to perform trial-related duties and functions, the investigator/institution should ensure this individual or party is qualified to perform those trial-related duties and functions and should implement procedures to ensure the integrity of the trial-related duties and functions performed and </w:t>
            </w:r>
            <w:r w:rsidRPr="006E43BF">
              <w:rPr>
                <w:rFonts w:eastAsia="Times New Roman"/>
                <w:shd w:val="clear" w:color="auto" w:fill="FFFFFF"/>
              </w:rPr>
              <w:lastRenderedPageBreak/>
              <w:t>any data generated</w:t>
            </w:r>
            <w:r>
              <w:rPr>
                <w:rFonts w:eastAsia="Times New Roman"/>
                <w:shd w:val="clear" w:color="auto" w:fill="FFFFFF"/>
              </w:rPr>
              <w:t>.</w:t>
            </w:r>
          </w:p>
          <w:p w:rsidR="005F1290" w:rsidRDefault="005F1290" w:rsidP="005F1290"/>
        </w:tc>
        <w:tc>
          <w:tcPr>
            <w:tcW w:w="558" w:type="dxa"/>
          </w:tcPr>
          <w:p w:rsidR="005F1290" w:rsidRDefault="005F1290"/>
        </w:tc>
      </w:tr>
      <w:tr w:rsidR="0058608F" w:rsidTr="0058608F">
        <w:tc>
          <w:tcPr>
            <w:tcW w:w="9576" w:type="dxa"/>
            <w:gridSpan w:val="2"/>
            <w:shd w:val="clear" w:color="auto" w:fill="B6DDE8" w:themeFill="accent5" w:themeFillTint="66"/>
          </w:tcPr>
          <w:p w:rsidR="0058608F" w:rsidRDefault="0058608F">
            <w:r>
              <w:lastRenderedPageBreak/>
              <w:t xml:space="preserve">Protection for Participants: </w:t>
            </w:r>
          </w:p>
        </w:tc>
      </w:tr>
      <w:tr w:rsidR="009C446F" w:rsidTr="009C446F">
        <w:tc>
          <w:tcPr>
            <w:tcW w:w="9018" w:type="dxa"/>
          </w:tcPr>
          <w:p w:rsidR="0058608F" w:rsidRDefault="0058608F" w:rsidP="0058608F">
            <w:r>
              <w:t xml:space="preserve">The researcher should include in their study procedures the process to make a reasonable attempt to ascertain why a participant withdraws from the research, while fully respecting the participant’s </w:t>
            </w:r>
            <w:proofErr w:type="gramStart"/>
            <w:r>
              <w:t>rights .</w:t>
            </w:r>
            <w:proofErr w:type="gramEnd"/>
          </w:p>
          <w:p w:rsidR="009C446F" w:rsidRDefault="009C446F"/>
        </w:tc>
        <w:tc>
          <w:tcPr>
            <w:tcW w:w="558" w:type="dxa"/>
          </w:tcPr>
          <w:p w:rsidR="009C446F" w:rsidRDefault="009C446F"/>
        </w:tc>
      </w:tr>
      <w:tr w:rsidR="009C446F" w:rsidTr="009C446F">
        <w:tc>
          <w:tcPr>
            <w:tcW w:w="9018" w:type="dxa"/>
          </w:tcPr>
          <w:p w:rsidR="005F1290" w:rsidRDefault="00022550" w:rsidP="005F1290">
            <w:r>
              <w:t>The r</w:t>
            </w:r>
            <w:r w:rsidR="005F1290">
              <w:t>esearcher informs the participant’s primary physician about participation if the participant has a primary physician and agrees to the notification.</w:t>
            </w:r>
          </w:p>
          <w:p w:rsidR="009C446F" w:rsidRDefault="009C446F"/>
        </w:tc>
        <w:tc>
          <w:tcPr>
            <w:tcW w:w="558" w:type="dxa"/>
          </w:tcPr>
          <w:p w:rsidR="009C446F" w:rsidRDefault="009C446F"/>
        </w:tc>
      </w:tr>
      <w:tr w:rsidR="009C446F" w:rsidTr="009C446F">
        <w:tc>
          <w:tcPr>
            <w:tcW w:w="9018" w:type="dxa"/>
          </w:tcPr>
          <w:p w:rsidR="005F1290" w:rsidRDefault="005F1290" w:rsidP="005F1290">
            <w:r>
              <w:t>Adequate medical care is provided during and following a participant’s participation in a clinical trial for any adverse events, including significant laboratory values, related to the clinical trial.</w:t>
            </w:r>
          </w:p>
          <w:p w:rsidR="009C446F" w:rsidRDefault="009C446F"/>
        </w:tc>
        <w:tc>
          <w:tcPr>
            <w:tcW w:w="558" w:type="dxa"/>
          </w:tcPr>
          <w:p w:rsidR="009C446F" w:rsidRDefault="009C446F"/>
        </w:tc>
      </w:tr>
      <w:tr w:rsidR="00022550" w:rsidTr="009C446F">
        <w:tc>
          <w:tcPr>
            <w:tcW w:w="9018" w:type="dxa"/>
          </w:tcPr>
          <w:p w:rsidR="00022550" w:rsidRPr="00022550" w:rsidRDefault="00022550" w:rsidP="00022550">
            <w:pPr>
              <w:rPr>
                <w:rFonts w:eastAsia="Times New Roman"/>
                <w:shd w:val="clear" w:color="auto" w:fill="FFFFFF"/>
              </w:rPr>
            </w:pPr>
            <w:r>
              <w:rPr>
                <w:rFonts w:eastAsia="Times New Roman"/>
                <w:shd w:val="clear" w:color="auto" w:fill="FFFFFF"/>
              </w:rPr>
              <w:t>The consent form should have lines for the s</w:t>
            </w:r>
            <w:r w:rsidRPr="00022550">
              <w:rPr>
                <w:rFonts w:eastAsia="Times New Roman"/>
                <w:shd w:val="clear" w:color="auto" w:fill="FFFFFF"/>
              </w:rPr>
              <w:t>ign</w:t>
            </w:r>
            <w:r>
              <w:rPr>
                <w:rFonts w:eastAsia="Times New Roman"/>
                <w:shd w:val="clear" w:color="auto" w:fill="FFFFFF"/>
              </w:rPr>
              <w:t xml:space="preserve">ature and dates </w:t>
            </w:r>
            <w:r w:rsidRPr="00022550">
              <w:rPr>
                <w:rFonts w:eastAsia="Times New Roman"/>
                <w:shd w:val="clear" w:color="auto" w:fill="FFFFFF"/>
              </w:rPr>
              <w:t>for</w:t>
            </w:r>
            <w:r>
              <w:rPr>
                <w:rFonts w:eastAsia="Times New Roman"/>
                <w:shd w:val="clear" w:color="auto" w:fill="FFFFFF"/>
              </w:rPr>
              <w:t xml:space="preserve"> the subject (or LAR) and for</w:t>
            </w:r>
            <w:r w:rsidRPr="00022550">
              <w:rPr>
                <w:rFonts w:eastAsia="Times New Roman"/>
                <w:shd w:val="clear" w:color="auto" w:fill="FFFFFF"/>
              </w:rPr>
              <w:t xml:space="preserve"> </w:t>
            </w:r>
            <w:r>
              <w:rPr>
                <w:rFonts w:eastAsia="Times New Roman"/>
                <w:shd w:val="clear" w:color="auto" w:fill="FFFFFF"/>
              </w:rPr>
              <w:t xml:space="preserve">the </w:t>
            </w:r>
            <w:r w:rsidRPr="00022550">
              <w:rPr>
                <w:rFonts w:eastAsia="Times New Roman"/>
                <w:shd w:val="clear" w:color="auto" w:fill="FFFFFF"/>
              </w:rPr>
              <w:t xml:space="preserve">person conducting the consent discussion. A witness is required if the subject/LAR is unable to read. </w:t>
            </w:r>
          </w:p>
          <w:p w:rsidR="00022550" w:rsidRDefault="00022550" w:rsidP="005F1290"/>
        </w:tc>
        <w:tc>
          <w:tcPr>
            <w:tcW w:w="558" w:type="dxa"/>
          </w:tcPr>
          <w:p w:rsidR="00022550" w:rsidRDefault="00022550"/>
        </w:tc>
      </w:tr>
      <w:tr w:rsidR="00565DC9" w:rsidTr="00565DC9">
        <w:tc>
          <w:tcPr>
            <w:tcW w:w="9576" w:type="dxa"/>
            <w:gridSpan w:val="2"/>
            <w:shd w:val="clear" w:color="auto" w:fill="B6DDE8" w:themeFill="accent5" w:themeFillTint="66"/>
          </w:tcPr>
          <w:p w:rsidR="00565DC9" w:rsidRDefault="00565DC9">
            <w:r>
              <w:t>Safety Reporting</w:t>
            </w:r>
            <w:r w:rsidR="00DB575B">
              <w:t xml:space="preserve"> Requirements</w:t>
            </w:r>
          </w:p>
        </w:tc>
      </w:tr>
      <w:tr w:rsidR="00565DC9" w:rsidTr="009C446F">
        <w:tc>
          <w:tcPr>
            <w:tcW w:w="9018" w:type="dxa"/>
          </w:tcPr>
          <w:p w:rsidR="00565DC9" w:rsidRDefault="00565DC9" w:rsidP="00022550">
            <w:pPr>
              <w:rPr>
                <w:rFonts w:eastAsia="Times New Roman"/>
                <w:shd w:val="clear" w:color="auto" w:fill="FFFFFF"/>
              </w:rPr>
            </w:pPr>
            <w:r>
              <w:rPr>
                <w:rFonts w:eastAsia="Times New Roman"/>
                <w:shd w:val="clear" w:color="auto" w:fill="FFFFFF"/>
              </w:rPr>
              <w:t xml:space="preserve">The researcher should report all serious adverse events (SAEs) to the IRB and the sponsor, except for those SAEs that the protocol or Investigator’s Brochure identifies as not needing immediate reporting. </w:t>
            </w:r>
          </w:p>
        </w:tc>
        <w:tc>
          <w:tcPr>
            <w:tcW w:w="558" w:type="dxa"/>
          </w:tcPr>
          <w:p w:rsidR="00565DC9" w:rsidRDefault="00565DC9"/>
        </w:tc>
      </w:tr>
      <w:tr w:rsidR="00565DC9" w:rsidTr="009C446F">
        <w:tc>
          <w:tcPr>
            <w:tcW w:w="9018" w:type="dxa"/>
          </w:tcPr>
          <w:p w:rsidR="00565DC9" w:rsidRDefault="00565DC9" w:rsidP="00022550">
            <w:pPr>
              <w:rPr>
                <w:rFonts w:eastAsia="Times New Roman"/>
                <w:shd w:val="clear" w:color="auto" w:fill="FFFFFF"/>
              </w:rPr>
            </w:pPr>
            <w:r>
              <w:rPr>
                <w:rFonts w:eastAsia="Times New Roman"/>
                <w:shd w:val="clear" w:color="auto" w:fill="FFFFFF"/>
              </w:rPr>
              <w:t>The researcher follows regulatory requirements for reporting unexpected serious adverse drug reactions to the regulatory authority and the IRB.</w:t>
            </w:r>
          </w:p>
        </w:tc>
        <w:tc>
          <w:tcPr>
            <w:tcW w:w="558" w:type="dxa"/>
          </w:tcPr>
          <w:p w:rsidR="00565DC9" w:rsidRDefault="00565DC9"/>
        </w:tc>
      </w:tr>
      <w:tr w:rsidR="00565DC9" w:rsidTr="009C446F">
        <w:tc>
          <w:tcPr>
            <w:tcW w:w="9018" w:type="dxa"/>
          </w:tcPr>
          <w:p w:rsidR="00565DC9" w:rsidRDefault="00565DC9" w:rsidP="00022550">
            <w:pPr>
              <w:rPr>
                <w:rFonts w:eastAsia="Times New Roman"/>
                <w:shd w:val="clear" w:color="auto" w:fill="FFFFFF"/>
              </w:rPr>
            </w:pPr>
            <w:r>
              <w:rPr>
                <w:rFonts w:eastAsia="Times New Roman"/>
                <w:shd w:val="clear" w:color="auto" w:fill="FFFFFF"/>
              </w:rPr>
              <w:t>The researcher reports to the IRB and the sponsor any laboratory abnormalities identified in the protocol as critical to safety evaluations, according to the reporting requirements and within the timeframe as specified by the sponsor in the protocol.</w:t>
            </w:r>
          </w:p>
        </w:tc>
        <w:tc>
          <w:tcPr>
            <w:tcW w:w="558" w:type="dxa"/>
          </w:tcPr>
          <w:p w:rsidR="00565DC9" w:rsidRDefault="00565DC9"/>
        </w:tc>
      </w:tr>
      <w:tr w:rsidR="00565DC9" w:rsidTr="009C446F">
        <w:tc>
          <w:tcPr>
            <w:tcW w:w="9018" w:type="dxa"/>
          </w:tcPr>
          <w:p w:rsidR="00565DC9" w:rsidRDefault="00565DC9" w:rsidP="00022550">
            <w:pPr>
              <w:rPr>
                <w:rFonts w:eastAsia="Times New Roman"/>
                <w:shd w:val="clear" w:color="auto" w:fill="FFFFFF"/>
              </w:rPr>
            </w:pPr>
            <w:r>
              <w:rPr>
                <w:rFonts w:eastAsia="Times New Roman"/>
                <w:shd w:val="clear" w:color="auto" w:fill="FFFFFF"/>
              </w:rPr>
              <w:t xml:space="preserve">For reported deaths, the researcher provides the IRB and sponsor with any additional requested information (e.g., autopsy reports, terminal medical reports). </w:t>
            </w:r>
          </w:p>
        </w:tc>
        <w:tc>
          <w:tcPr>
            <w:tcW w:w="558" w:type="dxa"/>
          </w:tcPr>
          <w:p w:rsidR="00565DC9" w:rsidRDefault="00565DC9"/>
        </w:tc>
      </w:tr>
      <w:tr w:rsidR="00DB575B" w:rsidTr="009C446F">
        <w:tc>
          <w:tcPr>
            <w:tcW w:w="9018" w:type="dxa"/>
          </w:tcPr>
          <w:p w:rsidR="00DB575B" w:rsidRDefault="00DB575B" w:rsidP="00022550">
            <w:pPr>
              <w:rPr>
                <w:rFonts w:eastAsia="Times New Roman"/>
                <w:shd w:val="clear" w:color="auto" w:fill="FFFFFF"/>
              </w:rPr>
            </w:pPr>
            <w:r>
              <w:rPr>
                <w:rFonts w:eastAsia="Times New Roman"/>
                <w:shd w:val="clear" w:color="auto" w:fill="FFFFFF"/>
              </w:rPr>
              <w:t>The research provides reports to the IRB and the sponsor (and the organization, if applicable) any significant changes to the conduct of the clinical trial and any changes that may affect the risks to participants.</w:t>
            </w:r>
          </w:p>
        </w:tc>
        <w:tc>
          <w:tcPr>
            <w:tcW w:w="558" w:type="dxa"/>
          </w:tcPr>
          <w:p w:rsidR="00DB575B" w:rsidRDefault="00DB575B"/>
        </w:tc>
      </w:tr>
      <w:tr w:rsidR="00DB575B" w:rsidTr="009C446F">
        <w:tc>
          <w:tcPr>
            <w:tcW w:w="9018" w:type="dxa"/>
          </w:tcPr>
          <w:p w:rsidR="00DB575B" w:rsidRDefault="000C7906" w:rsidP="00022550">
            <w:pPr>
              <w:rPr>
                <w:rFonts w:eastAsia="Times New Roman"/>
                <w:shd w:val="clear" w:color="auto" w:fill="FFFFFF"/>
              </w:rPr>
            </w:pPr>
            <w:r>
              <w:rPr>
                <w:rFonts w:eastAsia="Times New Roman"/>
                <w:shd w:val="clear" w:color="auto" w:fill="FFFFFF"/>
              </w:rPr>
              <w:t xml:space="preserve">The research reports to the IRB, the organization, and the sponsor if the researcher terminates or suspends the clinical trial without prior agreement of the sponsor. </w:t>
            </w:r>
          </w:p>
        </w:tc>
        <w:tc>
          <w:tcPr>
            <w:tcW w:w="558" w:type="dxa"/>
          </w:tcPr>
          <w:p w:rsidR="00DB575B" w:rsidRDefault="00DB575B"/>
        </w:tc>
      </w:tr>
      <w:tr w:rsidR="000C7906" w:rsidTr="009C446F">
        <w:tc>
          <w:tcPr>
            <w:tcW w:w="9018" w:type="dxa"/>
          </w:tcPr>
          <w:p w:rsidR="000C7906" w:rsidRDefault="007836FC" w:rsidP="00022550">
            <w:pPr>
              <w:rPr>
                <w:rFonts w:eastAsia="Times New Roman"/>
                <w:shd w:val="clear" w:color="auto" w:fill="FFFFFF"/>
              </w:rPr>
            </w:pPr>
            <w:r>
              <w:rPr>
                <w:rFonts w:eastAsia="Times New Roman"/>
                <w:shd w:val="clear" w:color="auto" w:fill="FFFFFF"/>
              </w:rPr>
              <w:t>The researcher notifies the sponsor if the IRB terminates or suspends approval of the clinical trial.</w:t>
            </w:r>
          </w:p>
        </w:tc>
        <w:tc>
          <w:tcPr>
            <w:tcW w:w="558" w:type="dxa"/>
          </w:tcPr>
          <w:p w:rsidR="000C7906" w:rsidRDefault="000C7906"/>
        </w:tc>
      </w:tr>
      <w:tr w:rsidR="007836FC" w:rsidTr="009C446F">
        <w:tc>
          <w:tcPr>
            <w:tcW w:w="9018" w:type="dxa"/>
          </w:tcPr>
          <w:p w:rsidR="007836FC" w:rsidRDefault="007836FC" w:rsidP="00022550">
            <w:pPr>
              <w:rPr>
                <w:rFonts w:eastAsia="Times New Roman"/>
                <w:shd w:val="clear" w:color="auto" w:fill="FFFFFF"/>
              </w:rPr>
            </w:pPr>
            <w:r>
              <w:rPr>
                <w:rFonts w:eastAsia="Times New Roman"/>
                <w:shd w:val="clear" w:color="auto" w:fill="FFFFFF"/>
              </w:rPr>
              <w:t>The researcher provides any reports required and a s</w:t>
            </w:r>
            <w:bookmarkStart w:id="0" w:name="_GoBack"/>
            <w:bookmarkEnd w:id="0"/>
            <w:r>
              <w:rPr>
                <w:rFonts w:eastAsia="Times New Roman"/>
                <w:shd w:val="clear" w:color="auto" w:fill="FFFFFF"/>
              </w:rPr>
              <w:t>ummary of results upon completion of the clinical trial to the IRB, organization (if applicable), and any regulatory authorities.</w:t>
            </w:r>
          </w:p>
        </w:tc>
        <w:tc>
          <w:tcPr>
            <w:tcW w:w="558" w:type="dxa"/>
          </w:tcPr>
          <w:p w:rsidR="007836FC" w:rsidRDefault="007836FC"/>
        </w:tc>
      </w:tr>
      <w:tr w:rsidR="00701F54" w:rsidTr="00701F54">
        <w:tc>
          <w:tcPr>
            <w:tcW w:w="9576" w:type="dxa"/>
            <w:gridSpan w:val="2"/>
            <w:shd w:val="clear" w:color="auto" w:fill="B6DDE8" w:themeFill="accent5" w:themeFillTint="66"/>
          </w:tcPr>
          <w:p w:rsidR="00701F54" w:rsidRDefault="00701F54">
            <w:r>
              <w:t>Drug Records Should Include:</w:t>
            </w:r>
          </w:p>
        </w:tc>
      </w:tr>
      <w:tr w:rsidR="009C446F" w:rsidTr="009C446F">
        <w:tc>
          <w:tcPr>
            <w:tcW w:w="9018" w:type="dxa"/>
          </w:tcPr>
          <w:p w:rsidR="009C446F" w:rsidRDefault="00701F54">
            <w:r w:rsidRPr="006E43BF">
              <w:t>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product(s).</w:t>
            </w:r>
          </w:p>
        </w:tc>
        <w:tc>
          <w:tcPr>
            <w:tcW w:w="558" w:type="dxa"/>
          </w:tcPr>
          <w:p w:rsidR="009C446F" w:rsidRDefault="009C446F"/>
        </w:tc>
      </w:tr>
      <w:tr w:rsidR="009C446F" w:rsidTr="009C446F">
        <w:tc>
          <w:tcPr>
            <w:tcW w:w="9018" w:type="dxa"/>
          </w:tcPr>
          <w:p w:rsidR="009C446F" w:rsidRDefault="00022550">
            <w:r>
              <w:t>The drug log should include:</w:t>
            </w:r>
          </w:p>
          <w:p w:rsidR="00022550" w:rsidRDefault="00022550" w:rsidP="00022550">
            <w:pPr>
              <w:pStyle w:val="ListParagraph"/>
              <w:numPr>
                <w:ilvl w:val="0"/>
                <w:numId w:val="3"/>
              </w:numPr>
            </w:pPr>
            <w:r>
              <w:t>dates</w:t>
            </w:r>
            <w:r w:rsidRPr="006E43BF">
              <w:t xml:space="preserve"> </w:t>
            </w:r>
          </w:p>
          <w:p w:rsidR="00022550" w:rsidRDefault="00022550" w:rsidP="00022550">
            <w:pPr>
              <w:pStyle w:val="ListParagraph"/>
              <w:numPr>
                <w:ilvl w:val="0"/>
                <w:numId w:val="3"/>
              </w:numPr>
            </w:pPr>
            <w:r>
              <w:t>quantities</w:t>
            </w:r>
          </w:p>
          <w:p w:rsidR="00022550" w:rsidRDefault="00022550" w:rsidP="00022550">
            <w:pPr>
              <w:pStyle w:val="ListParagraph"/>
              <w:numPr>
                <w:ilvl w:val="0"/>
                <w:numId w:val="3"/>
              </w:numPr>
            </w:pPr>
            <w:r>
              <w:t>batch/serial numbers</w:t>
            </w:r>
          </w:p>
          <w:p w:rsidR="00022550" w:rsidRDefault="00022550" w:rsidP="00022550">
            <w:pPr>
              <w:pStyle w:val="ListParagraph"/>
              <w:numPr>
                <w:ilvl w:val="0"/>
                <w:numId w:val="3"/>
              </w:numPr>
            </w:pPr>
            <w:r w:rsidRPr="006E43BF">
              <w:t>expira</w:t>
            </w:r>
            <w:r>
              <w:t>tion dates (if applicable)</w:t>
            </w:r>
            <w:r w:rsidRPr="006E43BF">
              <w:t xml:space="preserve"> </w:t>
            </w:r>
          </w:p>
          <w:p w:rsidR="00022550" w:rsidRDefault="00022550" w:rsidP="00022550">
            <w:pPr>
              <w:pStyle w:val="ListParagraph"/>
              <w:numPr>
                <w:ilvl w:val="0"/>
                <w:numId w:val="3"/>
              </w:numPr>
            </w:pPr>
            <w:r w:rsidRPr="006E43BF">
              <w:t>the unique code numbers assigned to the investigationa</w:t>
            </w:r>
            <w:r>
              <w:t>l product(s) and trial subjects</w:t>
            </w:r>
            <w:r w:rsidRPr="006E43BF">
              <w:t xml:space="preserve"> </w:t>
            </w:r>
          </w:p>
          <w:p w:rsidR="00022550" w:rsidRDefault="00022550"/>
        </w:tc>
        <w:tc>
          <w:tcPr>
            <w:tcW w:w="558" w:type="dxa"/>
          </w:tcPr>
          <w:p w:rsidR="009C446F" w:rsidRDefault="009C446F"/>
        </w:tc>
      </w:tr>
      <w:tr w:rsidR="009C446F" w:rsidTr="009C446F">
        <w:tc>
          <w:tcPr>
            <w:tcW w:w="9018" w:type="dxa"/>
          </w:tcPr>
          <w:p w:rsidR="00022550" w:rsidRPr="00A26D5E" w:rsidRDefault="00022550" w:rsidP="00022550">
            <w:pPr>
              <w:rPr>
                <w:rFonts w:eastAsia="Times New Roman"/>
                <w:b/>
                <w:bCs/>
                <w:bdr w:val="none" w:sz="0" w:space="0" w:color="auto" w:frame="1"/>
                <w:shd w:val="clear" w:color="auto" w:fill="FFFFFF"/>
              </w:rPr>
            </w:pPr>
            <w:r w:rsidRPr="006E43BF">
              <w:t>Investigators should maintain records that document adequately that the subjects were provided the doses specified by the protocol and reconcile all investigational product(s) received from the sponsor.</w:t>
            </w:r>
          </w:p>
          <w:p w:rsidR="009C446F" w:rsidRDefault="009C446F"/>
        </w:tc>
        <w:tc>
          <w:tcPr>
            <w:tcW w:w="558" w:type="dxa"/>
          </w:tcPr>
          <w:p w:rsidR="009C446F" w:rsidRDefault="009C446F"/>
        </w:tc>
      </w:tr>
    </w:tbl>
    <w:p w:rsidR="00A26D5E" w:rsidRDefault="00A26D5E" w:rsidP="00A26D5E">
      <w:pPr>
        <w:spacing w:after="0" w:line="240" w:lineRule="auto"/>
        <w:rPr>
          <w:rFonts w:eastAsia="Times New Roman"/>
          <w:shd w:val="clear" w:color="auto" w:fill="FFFFFF"/>
        </w:rPr>
      </w:pPr>
    </w:p>
    <w:p w:rsidR="00A26D5E" w:rsidRDefault="00A26D5E" w:rsidP="00A26D5E">
      <w:pPr>
        <w:spacing w:after="0" w:line="240" w:lineRule="auto"/>
        <w:rPr>
          <w:rFonts w:eastAsia="Times New Roman"/>
          <w:shd w:val="clear" w:color="auto" w:fill="FFFFFF"/>
        </w:rPr>
      </w:pPr>
    </w:p>
    <w:p w:rsidR="00A26D5E" w:rsidRDefault="00A26D5E" w:rsidP="00A26D5E">
      <w:pPr>
        <w:spacing w:after="0" w:line="240" w:lineRule="auto"/>
        <w:rPr>
          <w:rFonts w:eastAsia="Times New Roman"/>
          <w:b/>
          <w:bCs/>
          <w:bdr w:val="none" w:sz="0" w:space="0" w:color="auto" w:frame="1"/>
          <w:shd w:val="clear" w:color="auto" w:fill="FFFFFF"/>
        </w:rPr>
      </w:pPr>
    </w:p>
    <w:p w:rsidR="00A26D5E" w:rsidRDefault="00A26D5E" w:rsidP="00A26D5E">
      <w:pPr>
        <w:spacing w:after="0" w:line="240" w:lineRule="auto"/>
        <w:rPr>
          <w:rFonts w:eastAsia="Times New Roman"/>
          <w:shd w:val="clear" w:color="auto" w:fill="FFFFFF"/>
        </w:rPr>
      </w:pPr>
    </w:p>
    <w:p w:rsidR="009635EB" w:rsidRPr="00A26D5E" w:rsidRDefault="009635EB" w:rsidP="00A26D5E">
      <w:pPr>
        <w:spacing w:after="0" w:line="240" w:lineRule="auto"/>
        <w:rPr>
          <w:shd w:val="clear" w:color="auto" w:fill="FFFFFF"/>
        </w:rPr>
      </w:pPr>
    </w:p>
    <w:p w:rsidR="00A26D5E" w:rsidRDefault="00A26D5E" w:rsidP="00A26D5E">
      <w:pPr>
        <w:spacing w:after="0" w:line="240" w:lineRule="auto"/>
        <w:rPr>
          <w:rFonts w:eastAsia="Times New Roman"/>
          <w:shd w:val="clear" w:color="auto" w:fill="FFFFFF"/>
        </w:rPr>
      </w:pPr>
    </w:p>
    <w:p w:rsidR="00A26D5E" w:rsidRDefault="00A26D5E"/>
    <w:sectPr w:rsidR="00A26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B2B77"/>
    <w:multiLevelType w:val="hybridMultilevel"/>
    <w:tmpl w:val="63F6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6E5641"/>
    <w:multiLevelType w:val="hybridMultilevel"/>
    <w:tmpl w:val="9EE0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E148B"/>
    <w:multiLevelType w:val="hybridMultilevel"/>
    <w:tmpl w:val="9AAE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00FE8"/>
    <w:multiLevelType w:val="hybridMultilevel"/>
    <w:tmpl w:val="F2F4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AC1F8C"/>
    <w:multiLevelType w:val="hybridMultilevel"/>
    <w:tmpl w:val="0722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590"/>
    <w:rsid w:val="00022550"/>
    <w:rsid w:val="00050462"/>
    <w:rsid w:val="000C7906"/>
    <w:rsid w:val="002803F3"/>
    <w:rsid w:val="00355FCC"/>
    <w:rsid w:val="00491D69"/>
    <w:rsid w:val="00565DC9"/>
    <w:rsid w:val="0058608F"/>
    <w:rsid w:val="005F1290"/>
    <w:rsid w:val="006A4AED"/>
    <w:rsid w:val="00701F54"/>
    <w:rsid w:val="007836FC"/>
    <w:rsid w:val="007F3D2A"/>
    <w:rsid w:val="00812CD5"/>
    <w:rsid w:val="008B3BE5"/>
    <w:rsid w:val="00902317"/>
    <w:rsid w:val="009635EB"/>
    <w:rsid w:val="0099219C"/>
    <w:rsid w:val="009C446F"/>
    <w:rsid w:val="00A26D5E"/>
    <w:rsid w:val="00AD0A5B"/>
    <w:rsid w:val="00AD544D"/>
    <w:rsid w:val="00B04986"/>
    <w:rsid w:val="00BB52B4"/>
    <w:rsid w:val="00D05564"/>
    <w:rsid w:val="00D14EF6"/>
    <w:rsid w:val="00DB575B"/>
    <w:rsid w:val="00ED2590"/>
    <w:rsid w:val="00FB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D5E"/>
    <w:pPr>
      <w:ind w:left="720"/>
      <w:contextualSpacing/>
    </w:pPr>
  </w:style>
  <w:style w:type="table" w:styleId="TableGrid">
    <w:name w:val="Table Grid"/>
    <w:basedOn w:val="TableNormal"/>
    <w:uiPriority w:val="59"/>
    <w:rsid w:val="009C4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D5E"/>
    <w:pPr>
      <w:ind w:left="720"/>
      <w:contextualSpacing/>
    </w:pPr>
  </w:style>
  <w:style w:type="table" w:styleId="TableGrid">
    <w:name w:val="Table Grid"/>
    <w:basedOn w:val="TableNormal"/>
    <w:uiPriority w:val="59"/>
    <w:rsid w:val="009C4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Womans</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SEIDEMANN,ERICKA L</dc:creator>
  <cp:lastModifiedBy>SEIDEMANN,ERICKA L</cp:lastModifiedBy>
  <cp:revision>6</cp:revision>
  <dcterms:created xsi:type="dcterms:W3CDTF">2020-09-01T19:50:00Z</dcterms:created>
  <dcterms:modified xsi:type="dcterms:W3CDTF">2020-09-02T16:10:00Z</dcterms:modified>
</cp:coreProperties>
</file>