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5C" w:rsidRPr="00D4245C" w:rsidRDefault="00D4245C" w:rsidP="00D4245C">
      <w:pPr>
        <w:jc w:val="center"/>
        <w:rPr>
          <w:b/>
        </w:rPr>
      </w:pPr>
      <w:r>
        <w:rPr>
          <w:b/>
        </w:rPr>
        <w:t xml:space="preserve">INVESTIGATIONAL NEW </w:t>
      </w:r>
      <w:r w:rsidR="006507DF">
        <w:rPr>
          <w:b/>
        </w:rPr>
        <w:t>DEVICE (IDE)</w:t>
      </w:r>
      <w:r w:rsidRPr="00D4245C">
        <w:rPr>
          <w:b/>
        </w:rPr>
        <w:t xml:space="preserve"> EXEMPTION CHECKIST</w:t>
      </w:r>
    </w:p>
    <w:p w:rsidR="00D4245C" w:rsidRDefault="00D4245C"/>
    <w:p w:rsidR="006507DF" w:rsidRPr="006507DF" w:rsidRDefault="006507DF" w:rsidP="006507DF">
      <w:r w:rsidRPr="006507DF">
        <w:t>When research is conducted to determine the safety or effectiveness of a device and the study does not have an IDE issued by the FDA, one of the following must be true:</w:t>
      </w:r>
    </w:p>
    <w:p w:rsidR="006507DF" w:rsidRPr="006507DF" w:rsidRDefault="006507DF" w:rsidP="006507DF">
      <w:pPr>
        <w:numPr>
          <w:ilvl w:val="0"/>
          <w:numId w:val="3"/>
        </w:numPr>
        <w:spacing w:after="0" w:line="240" w:lineRule="auto"/>
      </w:pPr>
      <w:r w:rsidRPr="006507DF">
        <w:t>The use of the device in the study fulfills one of the</w:t>
      </w:r>
      <w:r w:rsidR="00CA5E9B">
        <w:t xml:space="preserve"> IDE exemption categories (see </w:t>
      </w:r>
      <w:r w:rsidR="00CA5E9B" w:rsidRPr="00CA5E9B">
        <w:rPr>
          <w:b/>
        </w:rPr>
        <w:t>I.</w:t>
      </w:r>
      <w:r w:rsidRPr="006507DF">
        <w:t xml:space="preserve"> below).</w:t>
      </w:r>
    </w:p>
    <w:p w:rsidR="006507DF" w:rsidRPr="006507DF" w:rsidRDefault="006507DF" w:rsidP="006507DF"/>
    <w:p w:rsidR="006507DF" w:rsidRPr="006507DF" w:rsidRDefault="006507DF" w:rsidP="006507DF">
      <w:pPr>
        <w:numPr>
          <w:ilvl w:val="0"/>
          <w:numId w:val="3"/>
        </w:numPr>
        <w:spacing w:after="0" w:line="240" w:lineRule="auto"/>
      </w:pPr>
      <w:r w:rsidRPr="006507DF">
        <w:t>The use of the device in the study fulfills the requiremen</w:t>
      </w:r>
      <w:r w:rsidR="00CA5E9B">
        <w:t xml:space="preserve">ts for an abbreviated IDE (see </w:t>
      </w:r>
      <w:r w:rsidR="00CA5E9B" w:rsidRPr="00CA5E9B">
        <w:rPr>
          <w:b/>
        </w:rPr>
        <w:t>II.</w:t>
      </w:r>
      <w:r w:rsidRPr="006507DF">
        <w:t xml:space="preserve"> below).</w:t>
      </w:r>
    </w:p>
    <w:p w:rsidR="006507DF" w:rsidRPr="006507DF" w:rsidRDefault="006507DF" w:rsidP="006507DF">
      <w:pPr>
        <w:ind w:left="720"/>
      </w:pPr>
    </w:p>
    <w:p w:rsidR="006507DF" w:rsidRPr="006507DF" w:rsidRDefault="006507DF" w:rsidP="006507DF">
      <w:r w:rsidRPr="006507DF">
        <w:t>To assess whether one of the required conditions is met, answer the following questions:</w:t>
      </w:r>
    </w:p>
    <w:p w:rsidR="006507DF" w:rsidRDefault="006507DF" w:rsidP="006507DF">
      <w:pPr>
        <w:rPr>
          <w:rFonts w:ascii="Arial" w:hAnsi="Arial" w:cs="Arial"/>
          <w:sz w:val="22"/>
          <w:szCs w:val="22"/>
        </w:rPr>
      </w:pPr>
    </w:p>
    <w:p w:rsidR="006507DF" w:rsidRPr="00CA5E9B" w:rsidRDefault="006507DF" w:rsidP="006507DF">
      <w:pPr>
        <w:numPr>
          <w:ilvl w:val="0"/>
          <w:numId w:val="6"/>
        </w:numPr>
        <w:rPr>
          <w:b/>
        </w:rPr>
      </w:pPr>
      <w:r w:rsidRPr="00CA5E9B">
        <w:rPr>
          <w:b/>
        </w:rPr>
        <w:t>Does the device fulfill one of the IDE exemption categories (21 CFR 812.2(c))?</w:t>
      </w:r>
    </w:p>
    <w:p w:rsidR="006507DF" w:rsidRPr="00CA5E9B" w:rsidRDefault="006507DF" w:rsidP="006507DF">
      <w:r w:rsidRPr="00CA5E9B">
        <w:t xml:space="preserve">(For this condition to be met, all parts of </w:t>
      </w:r>
      <w:r w:rsidRPr="00CA5E9B">
        <w:rPr>
          <w:b/>
          <w:u w:val="single"/>
        </w:rPr>
        <w:t>one</w:t>
      </w:r>
      <w:r w:rsidRPr="00CA5E9B">
        <w:t xml:space="preserve"> of the bulleted items below must be answered “Yes”.)</w:t>
      </w:r>
    </w:p>
    <w:tbl>
      <w:tblPr>
        <w:tblStyle w:val="TableGrid"/>
        <w:tblW w:w="0" w:type="auto"/>
        <w:tblLook w:val="04A0" w:firstRow="1" w:lastRow="0" w:firstColumn="1" w:lastColumn="0" w:noHBand="0" w:noVBand="1"/>
      </w:tblPr>
      <w:tblGrid>
        <w:gridCol w:w="8298"/>
        <w:gridCol w:w="630"/>
        <w:gridCol w:w="648"/>
      </w:tblGrid>
      <w:tr w:rsidR="006507DF" w:rsidTr="00031F6D">
        <w:tc>
          <w:tcPr>
            <w:tcW w:w="8298" w:type="dxa"/>
            <w:shd w:val="clear" w:color="auto" w:fill="8DB3E2" w:themeFill="text2" w:themeFillTint="66"/>
          </w:tcPr>
          <w:p w:rsidR="006507DF" w:rsidRPr="0084083C" w:rsidRDefault="006507DF" w:rsidP="00031F6D">
            <w:pPr>
              <w:tabs>
                <w:tab w:val="left" w:pos="1860"/>
              </w:tabs>
              <w:spacing w:after="300"/>
              <w:jc w:val="center"/>
              <w:textAlignment w:val="baseline"/>
              <w:rPr>
                <w:rFonts w:eastAsia="Times New Roman"/>
                <w:b/>
              </w:rPr>
            </w:pPr>
            <w:r w:rsidRPr="0084083C">
              <w:rPr>
                <w:rFonts w:eastAsia="Times New Roman"/>
                <w:b/>
              </w:rPr>
              <w:t>CRITERION</w:t>
            </w:r>
          </w:p>
        </w:tc>
        <w:tc>
          <w:tcPr>
            <w:tcW w:w="630" w:type="dxa"/>
            <w:shd w:val="clear" w:color="auto" w:fill="auto"/>
          </w:tcPr>
          <w:p w:rsidR="006507DF" w:rsidRPr="0084083C" w:rsidRDefault="006507DF" w:rsidP="00031F6D">
            <w:pPr>
              <w:spacing w:after="300"/>
              <w:jc w:val="center"/>
              <w:textAlignment w:val="baseline"/>
              <w:rPr>
                <w:rFonts w:eastAsia="Times New Roman"/>
                <w:b/>
              </w:rPr>
            </w:pPr>
            <w:r w:rsidRPr="0084083C">
              <w:rPr>
                <w:rFonts w:eastAsia="Times New Roman"/>
                <w:b/>
              </w:rPr>
              <w:t>Y</w:t>
            </w:r>
          </w:p>
        </w:tc>
        <w:tc>
          <w:tcPr>
            <w:tcW w:w="648" w:type="dxa"/>
            <w:shd w:val="clear" w:color="auto" w:fill="E5B8B7" w:themeFill="accent2" w:themeFillTint="66"/>
          </w:tcPr>
          <w:p w:rsidR="006507DF" w:rsidRPr="0084083C" w:rsidRDefault="006507DF" w:rsidP="00031F6D">
            <w:pPr>
              <w:spacing w:after="300"/>
              <w:jc w:val="center"/>
              <w:textAlignment w:val="baseline"/>
              <w:rPr>
                <w:rFonts w:eastAsia="Times New Roman"/>
                <w:b/>
              </w:rPr>
            </w:pPr>
            <w:r w:rsidRPr="0084083C">
              <w:rPr>
                <w:rFonts w:eastAsia="Times New Roman"/>
                <w:b/>
              </w:rPr>
              <w:t>N</w:t>
            </w:r>
          </w:p>
        </w:tc>
      </w:tr>
      <w:tr w:rsidR="006507DF" w:rsidTr="00031F6D">
        <w:tc>
          <w:tcPr>
            <w:tcW w:w="8298" w:type="dxa"/>
          </w:tcPr>
          <w:p w:rsidR="006507DF" w:rsidRDefault="006507DF" w:rsidP="006507DF">
            <w:pPr>
              <w:rPr>
                <w:rFonts w:ascii="Arial" w:hAnsi="Arial" w:cs="Arial"/>
                <w:sz w:val="22"/>
                <w:szCs w:val="22"/>
              </w:rPr>
            </w:pPr>
            <w:r>
              <w:rPr>
                <w:rFonts w:ascii="Arial" w:hAnsi="Arial" w:cs="Arial"/>
                <w:sz w:val="22"/>
                <w:szCs w:val="22"/>
              </w:rPr>
              <w:t>The device, other than a transitional device, was in commercial distribution immediately before May 28, 1976, and will be used or investigated in accordance with the indications in labeling in effect at that time.</w:t>
            </w:r>
          </w:p>
          <w:p w:rsidR="006E3536" w:rsidRPr="006507DF" w:rsidRDefault="006E3536" w:rsidP="006507DF">
            <w:pPr>
              <w:rPr>
                <w:rFonts w:ascii="Arial" w:hAnsi="Arial" w:cs="Arial"/>
                <w:sz w:val="22"/>
                <w:szCs w:val="22"/>
              </w:rPr>
            </w:pPr>
          </w:p>
        </w:tc>
        <w:sdt>
          <w:sdtPr>
            <w:rPr>
              <w:rFonts w:eastAsia="Times New Roman"/>
            </w:rPr>
            <w:id w:val="498238197"/>
            <w14:checkbox>
              <w14:checked w14:val="0"/>
              <w14:checkedState w14:val="2612" w14:font="MS Gothic"/>
              <w14:uncheckedState w14:val="2610" w14:font="MS Gothic"/>
            </w14:checkbox>
          </w:sdtPr>
          <w:sdtContent>
            <w:tc>
              <w:tcPr>
                <w:tcW w:w="630" w:type="dxa"/>
                <w:shd w:val="clear" w:color="auto" w:fill="auto"/>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148707492"/>
            <w14:checkbox>
              <w14:checked w14:val="0"/>
              <w14:checkedState w14:val="2612" w14:font="MS Gothic"/>
              <w14:uncheckedState w14:val="2610" w14:font="MS Gothic"/>
            </w14:checkbox>
          </w:sdtPr>
          <w:sdtContent>
            <w:tc>
              <w:tcPr>
                <w:tcW w:w="648" w:type="dxa"/>
                <w:shd w:val="clear" w:color="auto" w:fill="E5B8B7" w:themeFill="accent2" w:themeFillTint="66"/>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tr>
      <w:tr w:rsidR="006507DF" w:rsidTr="00031F6D">
        <w:tc>
          <w:tcPr>
            <w:tcW w:w="8298" w:type="dxa"/>
          </w:tcPr>
          <w:p w:rsidR="006507DF" w:rsidRDefault="006507DF" w:rsidP="006507DF">
            <w:pPr>
              <w:rPr>
                <w:rFonts w:ascii="Arial" w:hAnsi="Arial" w:cs="Arial"/>
                <w:sz w:val="22"/>
                <w:szCs w:val="22"/>
              </w:rPr>
            </w:pPr>
            <w:r>
              <w:rPr>
                <w:rFonts w:ascii="Arial" w:hAnsi="Arial" w:cs="Arial"/>
                <w:sz w:val="22"/>
                <w:szCs w:val="22"/>
              </w:rPr>
              <w:t>The device, other than a transitional device, was introduced into commercial distribution on or after May 28, 1976, the FDA determined the device to be substantially equivalent to a device in commercial distribution immediately before May 28, 1976, and the device will be used or investigated in accordance with the indications in the labeling FDA reviewed under subpart E of part 807 in determining substantial equivalence.</w:t>
            </w:r>
            <w:r>
              <w:rPr>
                <w:rFonts w:ascii="Arial" w:hAnsi="Arial" w:cs="Arial"/>
                <w:sz w:val="22"/>
                <w:szCs w:val="22"/>
              </w:rPr>
              <w:tab/>
            </w:r>
          </w:p>
          <w:p w:rsidR="006E3536" w:rsidRPr="006507DF" w:rsidRDefault="006E3536" w:rsidP="006507DF">
            <w:pPr>
              <w:rPr>
                <w:rFonts w:ascii="Arial" w:hAnsi="Arial" w:cs="Arial"/>
                <w:sz w:val="22"/>
                <w:szCs w:val="22"/>
              </w:rPr>
            </w:pPr>
          </w:p>
        </w:tc>
        <w:sdt>
          <w:sdtPr>
            <w:rPr>
              <w:rFonts w:eastAsia="Times New Roman"/>
            </w:rPr>
            <w:id w:val="526385929"/>
            <w14:checkbox>
              <w14:checked w14:val="0"/>
              <w14:checkedState w14:val="2612" w14:font="MS Gothic"/>
              <w14:uncheckedState w14:val="2610" w14:font="MS Gothic"/>
            </w14:checkbox>
          </w:sdtPr>
          <w:sdtContent>
            <w:tc>
              <w:tcPr>
                <w:tcW w:w="630" w:type="dxa"/>
                <w:shd w:val="clear" w:color="auto" w:fill="auto"/>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983387085"/>
            <w14:checkbox>
              <w14:checked w14:val="0"/>
              <w14:checkedState w14:val="2612" w14:font="MS Gothic"/>
              <w14:uncheckedState w14:val="2610" w14:font="MS Gothic"/>
            </w14:checkbox>
          </w:sdtPr>
          <w:sdtContent>
            <w:tc>
              <w:tcPr>
                <w:tcW w:w="648" w:type="dxa"/>
                <w:shd w:val="clear" w:color="auto" w:fill="E5B8B7" w:themeFill="accent2" w:themeFillTint="66"/>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tr>
      <w:tr w:rsidR="006507DF" w:rsidTr="00031F6D">
        <w:tc>
          <w:tcPr>
            <w:tcW w:w="8298" w:type="dxa"/>
          </w:tcPr>
          <w:p w:rsidR="006507DF" w:rsidRDefault="006507DF" w:rsidP="006507DF">
            <w:pPr>
              <w:rPr>
                <w:rFonts w:ascii="Arial" w:hAnsi="Arial" w:cs="Arial"/>
                <w:sz w:val="22"/>
                <w:szCs w:val="22"/>
              </w:rPr>
            </w:pPr>
            <w:r>
              <w:rPr>
                <w:rFonts w:ascii="Arial" w:hAnsi="Arial" w:cs="Arial"/>
                <w:sz w:val="22"/>
                <w:szCs w:val="22"/>
              </w:rPr>
              <w:t>The device is a diagnostic device, and the sponsor complies with applicable requirements in 21 CFR 809.10(c) (To be met, all of the following must be “Yes”):</w:t>
            </w:r>
          </w:p>
          <w:p w:rsidR="006507DF" w:rsidRDefault="006507DF" w:rsidP="006507DF">
            <w:pPr>
              <w:rPr>
                <w:rFonts w:ascii="Arial" w:hAnsi="Arial" w:cs="Arial"/>
                <w:sz w:val="22"/>
                <w:szCs w:val="22"/>
              </w:rPr>
            </w:pPr>
          </w:p>
          <w:p w:rsidR="006507DF" w:rsidRDefault="006507DF" w:rsidP="006507DF">
            <w:pPr>
              <w:numPr>
                <w:ilvl w:val="0"/>
                <w:numId w:val="8"/>
              </w:numPr>
              <w:rPr>
                <w:rFonts w:ascii="Arial" w:hAnsi="Arial" w:cs="Arial"/>
                <w:sz w:val="22"/>
                <w:szCs w:val="22"/>
              </w:rPr>
            </w:pPr>
            <w:r>
              <w:rPr>
                <w:rFonts w:ascii="Arial" w:hAnsi="Arial" w:cs="Arial"/>
                <w:sz w:val="22"/>
                <w:szCs w:val="22"/>
              </w:rPr>
              <w:t>Is non-invasive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6507DF" w:rsidRDefault="006507DF" w:rsidP="006507DF">
            <w:pPr>
              <w:numPr>
                <w:ilvl w:val="0"/>
                <w:numId w:val="8"/>
              </w:numPr>
              <w:rPr>
                <w:rFonts w:ascii="Arial" w:hAnsi="Arial" w:cs="Arial"/>
                <w:sz w:val="22"/>
                <w:szCs w:val="22"/>
              </w:rPr>
            </w:pPr>
            <w:r>
              <w:rPr>
                <w:rFonts w:ascii="Arial" w:hAnsi="Arial" w:cs="Arial"/>
                <w:sz w:val="22"/>
                <w:szCs w:val="22"/>
              </w:rPr>
              <w:t>Does not require an invasive sampling procedure that presents significant risk</w:t>
            </w:r>
            <w:r>
              <w:rPr>
                <w:rFonts w:ascii="Arial" w:hAnsi="Arial" w:cs="Arial"/>
                <w:sz w:val="22"/>
                <w:szCs w:val="22"/>
              </w:rPr>
              <w:tab/>
            </w:r>
          </w:p>
          <w:p w:rsidR="006507DF" w:rsidRDefault="006507DF" w:rsidP="006507DF">
            <w:pPr>
              <w:numPr>
                <w:ilvl w:val="0"/>
                <w:numId w:val="8"/>
              </w:numPr>
              <w:rPr>
                <w:rFonts w:ascii="Arial" w:hAnsi="Arial" w:cs="Arial"/>
                <w:sz w:val="22"/>
                <w:szCs w:val="22"/>
              </w:rPr>
            </w:pPr>
            <w:r>
              <w:rPr>
                <w:rFonts w:ascii="Arial" w:hAnsi="Arial" w:cs="Arial"/>
                <w:sz w:val="22"/>
                <w:szCs w:val="22"/>
              </w:rPr>
              <w:t>Does not introduce energy into a subject</w:t>
            </w:r>
            <w:r>
              <w:rPr>
                <w:rFonts w:ascii="Arial" w:hAnsi="Arial" w:cs="Arial"/>
                <w:sz w:val="22"/>
                <w:szCs w:val="22"/>
              </w:rPr>
              <w:tab/>
            </w:r>
          </w:p>
          <w:p w:rsidR="006507DF" w:rsidRDefault="006507DF" w:rsidP="006507DF">
            <w:pPr>
              <w:numPr>
                <w:ilvl w:val="0"/>
                <w:numId w:val="8"/>
              </w:numPr>
              <w:rPr>
                <w:rFonts w:ascii="Arial" w:hAnsi="Arial" w:cs="Arial"/>
                <w:sz w:val="22"/>
                <w:szCs w:val="22"/>
              </w:rPr>
            </w:pPr>
            <w:r>
              <w:rPr>
                <w:rFonts w:ascii="Arial" w:hAnsi="Arial" w:cs="Arial"/>
                <w:sz w:val="22"/>
                <w:szCs w:val="22"/>
              </w:rPr>
              <w:t xml:space="preserve">Will not be used as a diagnostic procedure without confirmation of the diagnosis by </w:t>
            </w:r>
          </w:p>
          <w:p w:rsidR="006E3536" w:rsidRDefault="006507DF" w:rsidP="006507DF">
            <w:pPr>
              <w:numPr>
                <w:ilvl w:val="0"/>
                <w:numId w:val="8"/>
              </w:numPr>
              <w:rPr>
                <w:rFonts w:ascii="Arial" w:hAnsi="Arial" w:cs="Arial"/>
                <w:sz w:val="22"/>
                <w:szCs w:val="22"/>
              </w:rPr>
            </w:pPr>
            <w:r>
              <w:rPr>
                <w:rFonts w:ascii="Arial" w:hAnsi="Arial" w:cs="Arial"/>
                <w:sz w:val="22"/>
                <w:szCs w:val="22"/>
              </w:rPr>
              <w:t>another medically-established diagnostic product or procedure</w:t>
            </w:r>
          </w:p>
          <w:p w:rsidR="006507DF" w:rsidRPr="006507DF" w:rsidRDefault="006507DF" w:rsidP="006E3536">
            <w:pPr>
              <w:ind w:left="720"/>
              <w:rPr>
                <w:rFonts w:ascii="Arial" w:hAnsi="Arial" w:cs="Arial"/>
                <w:sz w:val="22"/>
                <w:szCs w:val="22"/>
              </w:rPr>
            </w:pPr>
            <w:r>
              <w:rPr>
                <w:rFonts w:ascii="Arial" w:hAnsi="Arial" w:cs="Arial"/>
                <w:sz w:val="22"/>
                <w:szCs w:val="22"/>
              </w:rPr>
              <w:tab/>
            </w:r>
            <w:r>
              <w:rPr>
                <w:rFonts w:ascii="Arial" w:hAnsi="Arial" w:cs="Arial"/>
                <w:sz w:val="22"/>
                <w:szCs w:val="22"/>
              </w:rPr>
              <w:tab/>
            </w:r>
          </w:p>
        </w:tc>
        <w:sdt>
          <w:sdtPr>
            <w:rPr>
              <w:rFonts w:eastAsia="Times New Roman"/>
            </w:rPr>
            <w:id w:val="1714995943"/>
            <w14:checkbox>
              <w14:checked w14:val="0"/>
              <w14:checkedState w14:val="2612" w14:font="MS Gothic"/>
              <w14:uncheckedState w14:val="2610" w14:font="MS Gothic"/>
            </w14:checkbox>
          </w:sdtPr>
          <w:sdtContent>
            <w:tc>
              <w:tcPr>
                <w:tcW w:w="630" w:type="dxa"/>
                <w:shd w:val="clear" w:color="auto" w:fill="auto"/>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973823375"/>
            <w14:checkbox>
              <w14:checked w14:val="0"/>
              <w14:checkedState w14:val="2612" w14:font="MS Gothic"/>
              <w14:uncheckedState w14:val="2610" w14:font="MS Gothic"/>
            </w14:checkbox>
          </w:sdtPr>
          <w:sdtContent>
            <w:tc>
              <w:tcPr>
                <w:tcW w:w="648" w:type="dxa"/>
                <w:shd w:val="clear" w:color="auto" w:fill="E5B8B7" w:themeFill="accent2" w:themeFillTint="66"/>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tr>
      <w:tr w:rsidR="006507DF" w:rsidTr="00031F6D">
        <w:tc>
          <w:tcPr>
            <w:tcW w:w="8298" w:type="dxa"/>
          </w:tcPr>
          <w:p w:rsidR="006E3536" w:rsidRDefault="00031F6D" w:rsidP="00031F6D">
            <w:pPr>
              <w:rPr>
                <w:rFonts w:ascii="Arial" w:hAnsi="Arial" w:cs="Arial"/>
                <w:sz w:val="22"/>
                <w:szCs w:val="22"/>
              </w:rPr>
            </w:pPr>
            <w:r>
              <w:rPr>
                <w:rFonts w:ascii="Arial" w:hAnsi="Arial" w:cs="Arial"/>
                <w:sz w:val="22"/>
                <w:szCs w:val="22"/>
              </w:rPr>
              <w:t>The device is undergoing consumer preference testing, testing of a modification, or testing of a combination of two or more devices in commercial distribution, and the testing is not for the purpose of determining safety or effectiveness and does not put participants at risk.</w:t>
            </w:r>
          </w:p>
          <w:p w:rsidR="006507DF" w:rsidRPr="00031F6D" w:rsidRDefault="00031F6D" w:rsidP="00031F6D">
            <w:pPr>
              <w:rPr>
                <w:rFonts w:ascii="Arial" w:hAnsi="Arial" w:cs="Arial"/>
                <w:sz w:val="22"/>
                <w:szCs w:val="22"/>
              </w:rPr>
            </w:pPr>
            <w:r>
              <w:rPr>
                <w:rFonts w:ascii="Arial" w:hAnsi="Arial" w:cs="Arial"/>
                <w:sz w:val="22"/>
                <w:szCs w:val="22"/>
              </w:rPr>
              <w:tab/>
            </w:r>
            <w:r>
              <w:rPr>
                <w:rFonts w:ascii="Arial" w:hAnsi="Arial" w:cs="Arial"/>
                <w:sz w:val="22"/>
                <w:szCs w:val="22"/>
              </w:rPr>
              <w:tab/>
            </w:r>
          </w:p>
        </w:tc>
        <w:sdt>
          <w:sdtPr>
            <w:rPr>
              <w:rFonts w:eastAsia="Times New Roman"/>
            </w:rPr>
            <w:id w:val="-973603801"/>
            <w14:checkbox>
              <w14:checked w14:val="0"/>
              <w14:checkedState w14:val="2612" w14:font="MS Gothic"/>
              <w14:uncheckedState w14:val="2610" w14:font="MS Gothic"/>
            </w14:checkbox>
          </w:sdtPr>
          <w:sdtContent>
            <w:tc>
              <w:tcPr>
                <w:tcW w:w="630" w:type="dxa"/>
                <w:shd w:val="clear" w:color="auto" w:fill="auto"/>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864831949"/>
            <w14:checkbox>
              <w14:checked w14:val="0"/>
              <w14:checkedState w14:val="2612" w14:font="MS Gothic"/>
              <w14:uncheckedState w14:val="2610" w14:font="MS Gothic"/>
            </w14:checkbox>
          </w:sdtPr>
          <w:sdtContent>
            <w:tc>
              <w:tcPr>
                <w:tcW w:w="648" w:type="dxa"/>
                <w:shd w:val="clear" w:color="auto" w:fill="E5B8B7" w:themeFill="accent2" w:themeFillTint="66"/>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tr>
      <w:tr w:rsidR="006507DF" w:rsidTr="00031F6D">
        <w:trPr>
          <w:trHeight w:val="530"/>
        </w:trPr>
        <w:tc>
          <w:tcPr>
            <w:tcW w:w="8298" w:type="dxa"/>
          </w:tcPr>
          <w:p w:rsidR="006507DF" w:rsidRPr="0084083C" w:rsidRDefault="00031F6D" w:rsidP="00031F6D">
            <w:pPr>
              <w:shd w:val="clear" w:color="auto" w:fill="FFFFFF"/>
              <w:spacing w:after="150"/>
              <w:textAlignment w:val="baseline"/>
              <w:rPr>
                <w:rFonts w:eastAsia="Times New Roman"/>
                <w:sz w:val="28"/>
                <w:szCs w:val="28"/>
              </w:rPr>
            </w:pPr>
            <w:r>
              <w:rPr>
                <w:rFonts w:ascii="Arial" w:hAnsi="Arial" w:cs="Arial"/>
                <w:sz w:val="22"/>
                <w:szCs w:val="22"/>
              </w:rPr>
              <w:t>The device is intended solely for veterinary use.</w:t>
            </w:r>
          </w:p>
        </w:tc>
        <w:sdt>
          <w:sdtPr>
            <w:rPr>
              <w:rFonts w:eastAsia="Times New Roman"/>
            </w:rPr>
            <w:id w:val="536480766"/>
            <w14:checkbox>
              <w14:checked w14:val="0"/>
              <w14:checkedState w14:val="2612" w14:font="MS Gothic"/>
              <w14:uncheckedState w14:val="2610" w14:font="MS Gothic"/>
            </w14:checkbox>
          </w:sdtPr>
          <w:sdtContent>
            <w:tc>
              <w:tcPr>
                <w:tcW w:w="630" w:type="dxa"/>
                <w:shd w:val="clear" w:color="auto" w:fill="auto"/>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332496666"/>
            <w14:checkbox>
              <w14:checked w14:val="0"/>
              <w14:checkedState w14:val="2612" w14:font="MS Gothic"/>
              <w14:uncheckedState w14:val="2610" w14:font="MS Gothic"/>
            </w14:checkbox>
          </w:sdtPr>
          <w:sdtContent>
            <w:tc>
              <w:tcPr>
                <w:tcW w:w="648" w:type="dxa"/>
                <w:shd w:val="clear" w:color="auto" w:fill="E5B8B7" w:themeFill="accent2" w:themeFillTint="66"/>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tr>
      <w:tr w:rsidR="006507DF" w:rsidTr="00031F6D">
        <w:tc>
          <w:tcPr>
            <w:tcW w:w="8298" w:type="dxa"/>
          </w:tcPr>
          <w:p w:rsidR="006507DF" w:rsidRDefault="00031F6D" w:rsidP="00031F6D">
            <w:pPr>
              <w:rPr>
                <w:rFonts w:ascii="Arial" w:hAnsi="Arial" w:cs="Arial"/>
                <w:sz w:val="22"/>
                <w:szCs w:val="22"/>
              </w:rPr>
            </w:pPr>
            <w:r>
              <w:rPr>
                <w:rFonts w:ascii="Arial" w:hAnsi="Arial" w:cs="Arial"/>
                <w:sz w:val="22"/>
                <w:szCs w:val="22"/>
              </w:rPr>
              <w:t>The device is shipped solely for research on or with laboratory animals and labeled in accordance with 21 CFR 812.5(c).</w:t>
            </w:r>
          </w:p>
          <w:p w:rsidR="006E3536" w:rsidRPr="00031F6D" w:rsidRDefault="006E3536" w:rsidP="00031F6D">
            <w:pPr>
              <w:rPr>
                <w:rFonts w:ascii="Arial" w:hAnsi="Arial" w:cs="Arial"/>
                <w:sz w:val="22"/>
                <w:szCs w:val="22"/>
              </w:rPr>
            </w:pPr>
          </w:p>
        </w:tc>
        <w:sdt>
          <w:sdtPr>
            <w:rPr>
              <w:rFonts w:eastAsia="Times New Roman"/>
            </w:rPr>
            <w:id w:val="-1265684889"/>
            <w14:checkbox>
              <w14:checked w14:val="0"/>
              <w14:checkedState w14:val="2612" w14:font="MS Gothic"/>
              <w14:uncheckedState w14:val="2610" w14:font="MS Gothic"/>
            </w14:checkbox>
          </w:sdtPr>
          <w:sdtContent>
            <w:tc>
              <w:tcPr>
                <w:tcW w:w="630" w:type="dxa"/>
                <w:shd w:val="clear" w:color="auto" w:fill="auto"/>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841895327"/>
            <w14:checkbox>
              <w14:checked w14:val="0"/>
              <w14:checkedState w14:val="2612" w14:font="MS Gothic"/>
              <w14:uncheckedState w14:val="2610" w14:font="MS Gothic"/>
            </w14:checkbox>
          </w:sdtPr>
          <w:sdtContent>
            <w:tc>
              <w:tcPr>
                <w:tcW w:w="648" w:type="dxa"/>
                <w:shd w:val="clear" w:color="auto" w:fill="E5B8B7" w:themeFill="accent2" w:themeFillTint="66"/>
              </w:tcPr>
              <w:p w:rsidR="006507DF" w:rsidRDefault="006507DF" w:rsidP="00031F6D">
                <w:pPr>
                  <w:spacing w:after="300"/>
                  <w:textAlignment w:val="baseline"/>
                  <w:rPr>
                    <w:rFonts w:eastAsia="Times New Roman"/>
                  </w:rPr>
                </w:pPr>
                <w:r>
                  <w:rPr>
                    <w:rFonts w:ascii="MS Gothic" w:eastAsia="MS Gothic" w:hAnsi="MS Gothic" w:hint="eastAsia"/>
                  </w:rPr>
                  <w:t>☐</w:t>
                </w:r>
              </w:p>
            </w:tc>
          </w:sdtContent>
        </w:sdt>
      </w:tr>
      <w:tr w:rsidR="00031F6D" w:rsidTr="00031F6D">
        <w:tc>
          <w:tcPr>
            <w:tcW w:w="8298" w:type="dxa"/>
          </w:tcPr>
          <w:p w:rsidR="00031F6D" w:rsidRDefault="00031F6D" w:rsidP="00031F6D">
            <w:pPr>
              <w:pStyle w:val="Bullet2"/>
              <w:numPr>
                <w:ilvl w:val="0"/>
                <w:numId w:val="0"/>
              </w:numPr>
              <w:rPr>
                <w:rFonts w:ascii="Arial" w:hAnsi="Arial" w:cs="Arial"/>
                <w:sz w:val="22"/>
                <w:szCs w:val="22"/>
              </w:rPr>
            </w:pPr>
            <w:r>
              <w:rPr>
                <w:rFonts w:ascii="Arial" w:hAnsi="Arial" w:cs="Arial"/>
                <w:sz w:val="22"/>
                <w:szCs w:val="22"/>
              </w:rPr>
              <w:t>The device is a custom device* as defined in 21 CFR 812.3(b), unless the device is being used to determine safety or effectiveness for commercial distribution</w:t>
            </w:r>
          </w:p>
        </w:tc>
        <w:sdt>
          <w:sdtPr>
            <w:rPr>
              <w:rFonts w:eastAsia="Times New Roman"/>
            </w:rPr>
            <w:id w:val="-2126445514"/>
            <w14:checkbox>
              <w14:checked w14:val="0"/>
              <w14:checkedState w14:val="2612" w14:font="MS Gothic"/>
              <w14:uncheckedState w14:val="2610" w14:font="MS Gothic"/>
            </w14:checkbox>
          </w:sdtPr>
          <w:sdtContent>
            <w:tc>
              <w:tcPr>
                <w:tcW w:w="630" w:type="dxa"/>
                <w:shd w:val="clear" w:color="auto" w:fill="auto"/>
              </w:tcPr>
              <w:p w:rsidR="00031F6D" w:rsidRDefault="00031F6D" w:rsidP="00031F6D">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776874024"/>
            <w14:checkbox>
              <w14:checked w14:val="0"/>
              <w14:checkedState w14:val="2612" w14:font="MS Gothic"/>
              <w14:uncheckedState w14:val="2610" w14:font="MS Gothic"/>
            </w14:checkbox>
          </w:sdtPr>
          <w:sdtContent>
            <w:tc>
              <w:tcPr>
                <w:tcW w:w="648" w:type="dxa"/>
                <w:shd w:val="clear" w:color="auto" w:fill="E5B8B7" w:themeFill="accent2" w:themeFillTint="66"/>
              </w:tcPr>
              <w:p w:rsidR="00031F6D" w:rsidRDefault="00031F6D" w:rsidP="00031F6D">
                <w:pPr>
                  <w:spacing w:after="300"/>
                  <w:textAlignment w:val="baseline"/>
                  <w:rPr>
                    <w:rFonts w:eastAsia="Times New Roman"/>
                  </w:rPr>
                </w:pPr>
                <w:r>
                  <w:rPr>
                    <w:rFonts w:ascii="MS Gothic" w:eastAsia="MS Gothic" w:hAnsi="MS Gothic" w:hint="eastAsia"/>
                  </w:rPr>
                  <w:t>☐</w:t>
                </w:r>
              </w:p>
            </w:tc>
          </w:sdtContent>
        </w:sdt>
      </w:tr>
    </w:tbl>
    <w:p w:rsidR="006507DF" w:rsidRDefault="006507DF" w:rsidP="006507DF">
      <w:pPr>
        <w:rPr>
          <w:rFonts w:ascii="Arial" w:hAnsi="Arial" w:cs="Arial"/>
          <w:sz w:val="22"/>
          <w:szCs w:val="22"/>
        </w:rPr>
      </w:pPr>
    </w:p>
    <w:p w:rsidR="00031F6D" w:rsidRPr="00CA5E9B" w:rsidRDefault="00031F6D" w:rsidP="00031F6D">
      <w:pPr>
        <w:rPr>
          <w:i/>
        </w:rPr>
      </w:pPr>
      <w:r w:rsidRPr="00CA5E9B">
        <w:t xml:space="preserve">* </w:t>
      </w:r>
      <w:r w:rsidRPr="00CA5E9B">
        <w:rPr>
          <w:i/>
        </w:rPr>
        <w:t xml:space="preserve">Note - a “custom device” means a device that: </w:t>
      </w:r>
    </w:p>
    <w:p w:rsidR="00031F6D" w:rsidRPr="00CA5E9B" w:rsidRDefault="00031F6D" w:rsidP="00031F6D">
      <w:pPr>
        <w:rPr>
          <w:i/>
        </w:rPr>
      </w:pPr>
      <w:r w:rsidRPr="00CA5E9B">
        <w:rPr>
          <w:i/>
        </w:rPr>
        <w:t>(1) Necessarily deviates from devices generally available or from an applicable performance standard or premarket app</w:t>
      </w:r>
      <w:bookmarkStart w:id="0" w:name="_GoBack"/>
      <w:bookmarkEnd w:id="0"/>
      <w:r w:rsidRPr="00CA5E9B">
        <w:rPr>
          <w:i/>
        </w:rPr>
        <w:t xml:space="preserve">roval requirement in order to comply with the order of an individual physician or dentist; </w:t>
      </w:r>
    </w:p>
    <w:p w:rsidR="00031F6D" w:rsidRPr="00CA5E9B" w:rsidRDefault="00031F6D" w:rsidP="00031F6D">
      <w:pPr>
        <w:rPr>
          <w:i/>
        </w:rPr>
      </w:pPr>
      <w:r w:rsidRPr="00CA5E9B">
        <w:rPr>
          <w:i/>
        </w:rPr>
        <w:t xml:space="preserve">(2) </w:t>
      </w:r>
      <w:proofErr w:type="gramStart"/>
      <w:r w:rsidRPr="00CA5E9B">
        <w:rPr>
          <w:i/>
        </w:rPr>
        <w:t>Is</w:t>
      </w:r>
      <w:proofErr w:type="gramEnd"/>
      <w:r w:rsidRPr="00CA5E9B">
        <w:rPr>
          <w:i/>
        </w:rPr>
        <w:t xml:space="preserve"> not generally available to, or generally used by, other physicians or dentists; </w:t>
      </w:r>
    </w:p>
    <w:p w:rsidR="00031F6D" w:rsidRPr="00CA5E9B" w:rsidRDefault="00031F6D" w:rsidP="00031F6D">
      <w:pPr>
        <w:rPr>
          <w:i/>
        </w:rPr>
      </w:pPr>
      <w:r w:rsidRPr="00CA5E9B">
        <w:rPr>
          <w:i/>
        </w:rPr>
        <w:t xml:space="preserve">(3) Is not generally available in finished form for purchase or for dispensing upon prescription; </w:t>
      </w:r>
    </w:p>
    <w:p w:rsidR="00031F6D" w:rsidRPr="00CA5E9B" w:rsidRDefault="00031F6D" w:rsidP="00031F6D">
      <w:pPr>
        <w:rPr>
          <w:i/>
        </w:rPr>
      </w:pPr>
      <w:r w:rsidRPr="00CA5E9B">
        <w:rPr>
          <w:i/>
        </w:rPr>
        <w:t xml:space="preserve">(4) Is not offered for commercial distribution through labeling or advertising; and </w:t>
      </w:r>
    </w:p>
    <w:p w:rsidR="00031F6D" w:rsidRPr="00CA5E9B" w:rsidRDefault="00031F6D" w:rsidP="00031F6D">
      <w:pPr>
        <w:rPr>
          <w:i/>
        </w:rPr>
      </w:pPr>
      <w:r w:rsidRPr="00CA5E9B">
        <w:rPr>
          <w:i/>
        </w:rPr>
        <w:t xml:space="preserve">(5) Is intended for use by an individual patient named in the order of a physician or dentist, and is to be made in a specific form for that patient, or is intended to meet the special needs of the physician or dentist in the course of professional practice. </w:t>
      </w:r>
    </w:p>
    <w:p w:rsidR="006E3536" w:rsidRDefault="006E3536" w:rsidP="006507DF">
      <w:pPr>
        <w:rPr>
          <w:rFonts w:ascii="Arial" w:hAnsi="Arial" w:cs="Arial"/>
          <w:b/>
          <w:sz w:val="22"/>
          <w:szCs w:val="22"/>
        </w:rPr>
      </w:pPr>
    </w:p>
    <w:p w:rsidR="006507DF" w:rsidRPr="00CA5E9B" w:rsidRDefault="006507DF" w:rsidP="001B3E13">
      <w:pPr>
        <w:numPr>
          <w:ilvl w:val="0"/>
          <w:numId w:val="6"/>
        </w:numPr>
        <w:rPr>
          <w:b/>
        </w:rPr>
      </w:pPr>
      <w:r w:rsidRPr="00CA5E9B">
        <w:rPr>
          <w:b/>
        </w:rPr>
        <w:t>Does the device fulfill the requirements for an abbreviated IDE (21 CFR 812.2(b</w:t>
      </w:r>
      <w:proofErr w:type="gramStart"/>
      <w:r w:rsidRPr="00CA5E9B">
        <w:rPr>
          <w:b/>
        </w:rPr>
        <w:t>)(</w:t>
      </w:r>
      <w:proofErr w:type="gramEnd"/>
      <w:r w:rsidRPr="00CA5E9B">
        <w:rPr>
          <w:b/>
        </w:rPr>
        <w:t>1))?</w:t>
      </w:r>
    </w:p>
    <w:p w:rsidR="001B3E13" w:rsidRPr="001B3E13" w:rsidRDefault="001B3E13" w:rsidP="001B3E13">
      <w:r w:rsidRPr="001B3E13">
        <w:t>The FDA considers an investigation of a non-significant risk device to have an abbreviated IDE when the IRB concurs with the non-significant risk determination and approves the study. The sponsor must also comply with the abbreviated IDE requirements under 21CFR812.2b.</w:t>
      </w:r>
    </w:p>
    <w:p w:rsidR="006507DF" w:rsidRPr="00CA5E9B" w:rsidRDefault="001B3E13" w:rsidP="006507DF">
      <w:r w:rsidRPr="00CA5E9B">
        <w:t xml:space="preserve"> </w:t>
      </w:r>
      <w:r w:rsidR="006507DF" w:rsidRPr="00CA5E9B">
        <w:t xml:space="preserve">(For this condition to be met, </w:t>
      </w:r>
      <w:r w:rsidR="006507DF" w:rsidRPr="00CA5E9B">
        <w:rPr>
          <w:b/>
          <w:u w:val="single"/>
        </w:rPr>
        <w:t>all</w:t>
      </w:r>
      <w:r w:rsidR="006507DF" w:rsidRPr="00CA5E9B">
        <w:t xml:space="preserve"> applicable findings below must be “Yes”.)</w:t>
      </w:r>
    </w:p>
    <w:tbl>
      <w:tblPr>
        <w:tblStyle w:val="TableGrid"/>
        <w:tblW w:w="0" w:type="auto"/>
        <w:tblLook w:val="04A0" w:firstRow="1" w:lastRow="0" w:firstColumn="1" w:lastColumn="0" w:noHBand="0" w:noVBand="1"/>
      </w:tblPr>
      <w:tblGrid>
        <w:gridCol w:w="8298"/>
        <w:gridCol w:w="630"/>
        <w:gridCol w:w="648"/>
      </w:tblGrid>
      <w:tr w:rsidR="006E3536" w:rsidTr="001B3E13">
        <w:tc>
          <w:tcPr>
            <w:tcW w:w="8298" w:type="dxa"/>
            <w:shd w:val="clear" w:color="auto" w:fill="8DB3E2" w:themeFill="text2" w:themeFillTint="66"/>
          </w:tcPr>
          <w:p w:rsidR="006E3536" w:rsidRPr="0084083C" w:rsidRDefault="006E3536" w:rsidP="001B3E13">
            <w:pPr>
              <w:tabs>
                <w:tab w:val="left" w:pos="1860"/>
              </w:tabs>
              <w:spacing w:after="300"/>
              <w:jc w:val="center"/>
              <w:textAlignment w:val="baseline"/>
              <w:rPr>
                <w:rFonts w:eastAsia="Times New Roman"/>
                <w:b/>
              </w:rPr>
            </w:pPr>
            <w:r w:rsidRPr="0084083C">
              <w:rPr>
                <w:rFonts w:eastAsia="Times New Roman"/>
                <w:b/>
              </w:rPr>
              <w:t>CRITERION</w:t>
            </w:r>
          </w:p>
        </w:tc>
        <w:tc>
          <w:tcPr>
            <w:tcW w:w="630" w:type="dxa"/>
            <w:shd w:val="clear" w:color="auto" w:fill="auto"/>
          </w:tcPr>
          <w:p w:rsidR="006E3536" w:rsidRPr="0084083C" w:rsidRDefault="006E3536" w:rsidP="001B3E13">
            <w:pPr>
              <w:spacing w:after="300"/>
              <w:jc w:val="center"/>
              <w:textAlignment w:val="baseline"/>
              <w:rPr>
                <w:rFonts w:eastAsia="Times New Roman"/>
                <w:b/>
              </w:rPr>
            </w:pPr>
            <w:r w:rsidRPr="0084083C">
              <w:rPr>
                <w:rFonts w:eastAsia="Times New Roman"/>
                <w:b/>
              </w:rPr>
              <w:t>Y</w:t>
            </w:r>
          </w:p>
        </w:tc>
        <w:tc>
          <w:tcPr>
            <w:tcW w:w="648" w:type="dxa"/>
            <w:shd w:val="clear" w:color="auto" w:fill="E5B8B7" w:themeFill="accent2" w:themeFillTint="66"/>
          </w:tcPr>
          <w:p w:rsidR="006E3536" w:rsidRPr="0084083C" w:rsidRDefault="006E3536" w:rsidP="001B3E13">
            <w:pPr>
              <w:spacing w:after="300"/>
              <w:jc w:val="center"/>
              <w:textAlignment w:val="baseline"/>
              <w:rPr>
                <w:rFonts w:eastAsia="Times New Roman"/>
                <w:b/>
              </w:rPr>
            </w:pPr>
            <w:r w:rsidRPr="0084083C">
              <w:rPr>
                <w:rFonts w:eastAsia="Times New Roman"/>
                <w:b/>
              </w:rPr>
              <w:t>N</w:t>
            </w:r>
          </w:p>
        </w:tc>
      </w:tr>
      <w:tr w:rsidR="006E3536" w:rsidTr="001B3E13">
        <w:tc>
          <w:tcPr>
            <w:tcW w:w="8298" w:type="dxa"/>
          </w:tcPr>
          <w:p w:rsidR="006E3536" w:rsidRPr="0084083C" w:rsidRDefault="006E3536" w:rsidP="001B3E13">
            <w:pPr>
              <w:shd w:val="clear" w:color="auto" w:fill="FFFFFF"/>
              <w:spacing w:after="150"/>
              <w:textAlignment w:val="baseline"/>
              <w:rPr>
                <w:rFonts w:eastAsia="Times New Roman"/>
                <w:sz w:val="28"/>
                <w:szCs w:val="28"/>
              </w:rPr>
            </w:pPr>
            <w:r>
              <w:rPr>
                <w:rFonts w:ascii="Arial" w:hAnsi="Arial" w:cs="Arial"/>
                <w:sz w:val="22"/>
                <w:szCs w:val="22"/>
              </w:rPr>
              <w:t>The device is not a banned device.</w:t>
            </w:r>
            <w:r>
              <w:rPr>
                <w:rFonts w:ascii="Arial" w:hAnsi="Arial" w:cs="Arial"/>
                <w:sz w:val="22"/>
                <w:szCs w:val="22"/>
              </w:rPr>
              <w:tab/>
            </w:r>
          </w:p>
        </w:tc>
        <w:sdt>
          <w:sdtPr>
            <w:rPr>
              <w:rFonts w:eastAsia="Times New Roman"/>
            </w:rPr>
            <w:id w:val="881598725"/>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07276697"/>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c>
          <w:tcPr>
            <w:tcW w:w="8298" w:type="dxa"/>
          </w:tcPr>
          <w:p w:rsidR="006E3536" w:rsidRPr="006E3536" w:rsidRDefault="006E3536" w:rsidP="006E3536">
            <w:pPr>
              <w:rPr>
                <w:rFonts w:ascii="Arial" w:hAnsi="Arial" w:cs="Arial"/>
                <w:sz w:val="22"/>
                <w:szCs w:val="22"/>
              </w:rPr>
            </w:pPr>
            <w:r>
              <w:rPr>
                <w:rFonts w:ascii="Arial" w:hAnsi="Arial" w:cs="Arial"/>
                <w:sz w:val="22"/>
                <w:szCs w:val="22"/>
              </w:rPr>
              <w:t>The sponsor labeled the device in accordance with 21 CFR 812.5.</w:t>
            </w:r>
            <w:r>
              <w:rPr>
                <w:rFonts w:ascii="Arial" w:hAnsi="Arial" w:cs="Arial"/>
                <w:sz w:val="22"/>
                <w:szCs w:val="22"/>
              </w:rPr>
              <w:tab/>
            </w:r>
            <w:r>
              <w:rPr>
                <w:rFonts w:ascii="Arial" w:hAnsi="Arial" w:cs="Arial"/>
                <w:sz w:val="22"/>
                <w:szCs w:val="22"/>
              </w:rPr>
              <w:tab/>
            </w:r>
          </w:p>
        </w:tc>
        <w:sdt>
          <w:sdtPr>
            <w:rPr>
              <w:rFonts w:eastAsia="Times New Roman"/>
            </w:rPr>
            <w:id w:val="-993327217"/>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407880403"/>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c>
          <w:tcPr>
            <w:tcW w:w="8298" w:type="dxa"/>
          </w:tcPr>
          <w:p w:rsidR="006E3536" w:rsidRPr="006E3536" w:rsidRDefault="006E3536" w:rsidP="006E3536">
            <w:pPr>
              <w:rPr>
                <w:rFonts w:ascii="Arial" w:hAnsi="Arial" w:cs="Arial"/>
                <w:sz w:val="22"/>
                <w:szCs w:val="22"/>
              </w:rPr>
            </w:pPr>
            <w:r>
              <w:rPr>
                <w:rFonts w:ascii="Arial" w:hAnsi="Arial" w:cs="Arial"/>
                <w:sz w:val="22"/>
                <w:szCs w:val="22"/>
              </w:rPr>
              <w:t>The sponsor will obtain IRB approval of the investigation after presenting the convened IRB with a brief explanation of why the device, as used in the research study, is not a significant risk device, and maintains such approval.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tc>
        <w:sdt>
          <w:sdtPr>
            <w:rPr>
              <w:rFonts w:eastAsia="Times New Roman"/>
            </w:rPr>
            <w:id w:val="-604955291"/>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23045978"/>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c>
          <w:tcPr>
            <w:tcW w:w="8298" w:type="dxa"/>
          </w:tcPr>
          <w:p w:rsidR="006E3536" w:rsidRDefault="006E3536" w:rsidP="006E3536">
            <w:pPr>
              <w:pStyle w:val="Bullet2"/>
              <w:numPr>
                <w:ilvl w:val="0"/>
                <w:numId w:val="0"/>
              </w:numPr>
              <w:rPr>
                <w:rFonts w:ascii="Arial" w:hAnsi="Arial" w:cs="Arial"/>
                <w:sz w:val="22"/>
                <w:szCs w:val="22"/>
              </w:rPr>
            </w:pPr>
            <w:r>
              <w:rPr>
                <w:rFonts w:ascii="Arial" w:hAnsi="Arial" w:cs="Arial"/>
                <w:sz w:val="22"/>
                <w:szCs w:val="22"/>
              </w:rPr>
              <w:t>The sponsor will ensure that each investigator participating in an investigation of the device obtains from each subject under the investigator’s care consent under 21 CFR 50 and documents it, unless documentation is waived.</w:t>
            </w:r>
          </w:p>
          <w:p w:rsidR="006E3536" w:rsidRPr="006E3536" w:rsidRDefault="006E3536" w:rsidP="006E3536">
            <w:pPr>
              <w:pStyle w:val="Bullet2"/>
              <w:numPr>
                <w:ilvl w:val="0"/>
                <w:numId w:val="0"/>
              </w:numPr>
              <w:rPr>
                <w:rFonts w:ascii="Arial" w:hAnsi="Arial" w:cs="Arial"/>
                <w:sz w:val="22"/>
                <w:szCs w:val="22"/>
              </w:rPr>
            </w:pPr>
            <w:r>
              <w:rPr>
                <w:rFonts w:ascii="Arial" w:hAnsi="Arial" w:cs="Arial"/>
                <w:sz w:val="22"/>
                <w:szCs w:val="22"/>
              </w:rPr>
              <w:tab/>
            </w:r>
          </w:p>
        </w:tc>
        <w:sdt>
          <w:sdtPr>
            <w:rPr>
              <w:rFonts w:eastAsia="Times New Roman"/>
            </w:rPr>
            <w:id w:val="1057200333"/>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584030482"/>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rPr>
          <w:trHeight w:val="1133"/>
        </w:trPr>
        <w:tc>
          <w:tcPr>
            <w:tcW w:w="8298" w:type="dxa"/>
          </w:tcPr>
          <w:p w:rsidR="006E3536" w:rsidRPr="006E3536" w:rsidRDefault="006E3536" w:rsidP="006E3536">
            <w:pPr>
              <w:pStyle w:val="Bullet2"/>
              <w:numPr>
                <w:ilvl w:val="0"/>
                <w:numId w:val="0"/>
              </w:numPr>
              <w:rPr>
                <w:rFonts w:ascii="Arial" w:hAnsi="Arial" w:cs="Arial"/>
                <w:sz w:val="22"/>
                <w:szCs w:val="22"/>
              </w:rPr>
            </w:pPr>
            <w:r>
              <w:rPr>
                <w:rFonts w:ascii="Arial" w:hAnsi="Arial" w:cs="Arial"/>
                <w:sz w:val="22"/>
                <w:szCs w:val="22"/>
              </w:rPr>
              <w:t>The sponsor will comply with the requirements of 21 CFR 812.46 with respect to monitoring investigations;</w:t>
            </w:r>
          </w:p>
        </w:tc>
        <w:sdt>
          <w:sdtPr>
            <w:rPr>
              <w:rFonts w:eastAsia="Times New Roman"/>
            </w:rPr>
            <w:id w:val="-232551176"/>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693026375"/>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c>
          <w:tcPr>
            <w:tcW w:w="8298" w:type="dxa"/>
          </w:tcPr>
          <w:p w:rsidR="006E3536" w:rsidRDefault="006E3536" w:rsidP="006E3536">
            <w:pPr>
              <w:pStyle w:val="Bullet2"/>
              <w:numPr>
                <w:ilvl w:val="0"/>
                <w:numId w:val="0"/>
              </w:numPr>
              <w:rPr>
                <w:rFonts w:ascii="Arial" w:hAnsi="Arial" w:cs="Arial"/>
                <w:sz w:val="22"/>
                <w:szCs w:val="22"/>
              </w:rPr>
            </w:pPr>
            <w:r>
              <w:rPr>
                <w:rFonts w:ascii="Arial" w:hAnsi="Arial" w:cs="Arial"/>
                <w:sz w:val="22"/>
                <w:szCs w:val="22"/>
              </w:rPr>
              <w:t>The sponsor will maintain the records required under 21 CFR 812.140(b)(4) and (5) and make the reports required under 21 CFR 812.150(b) (1) through (3) and (5) through (10);</w:t>
            </w:r>
          </w:p>
          <w:p w:rsidR="006E3536" w:rsidRPr="006E3536" w:rsidRDefault="006E3536" w:rsidP="006E3536">
            <w:pPr>
              <w:pStyle w:val="Bullet2"/>
              <w:numPr>
                <w:ilvl w:val="0"/>
                <w:numId w:val="0"/>
              </w:numPr>
              <w:rPr>
                <w:rFonts w:ascii="Arial" w:hAnsi="Arial" w:cs="Arial"/>
                <w:sz w:val="22"/>
                <w:szCs w:val="22"/>
              </w:rPr>
            </w:pPr>
          </w:p>
        </w:tc>
        <w:sdt>
          <w:sdtPr>
            <w:rPr>
              <w:rFonts w:eastAsia="Times New Roman"/>
            </w:rPr>
            <w:id w:val="1940714470"/>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577946729"/>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c>
          <w:tcPr>
            <w:tcW w:w="8298" w:type="dxa"/>
          </w:tcPr>
          <w:p w:rsidR="006E3536" w:rsidRDefault="006E3536" w:rsidP="006E3536">
            <w:pPr>
              <w:pStyle w:val="Bullet2"/>
              <w:numPr>
                <w:ilvl w:val="0"/>
                <w:numId w:val="0"/>
              </w:numPr>
              <w:rPr>
                <w:rFonts w:ascii="Arial" w:hAnsi="Arial" w:cs="Arial"/>
                <w:sz w:val="22"/>
                <w:szCs w:val="22"/>
              </w:rPr>
            </w:pPr>
            <w:r>
              <w:rPr>
                <w:rFonts w:ascii="Arial" w:hAnsi="Arial" w:cs="Arial"/>
                <w:sz w:val="22"/>
                <w:szCs w:val="22"/>
              </w:rPr>
              <w:t>The sponsor will ensure that participating investigators will maintain the records required by 21 CFR 812.140(a)(3)(</w:t>
            </w:r>
            <w:proofErr w:type="spellStart"/>
            <w:r>
              <w:rPr>
                <w:rFonts w:ascii="Arial" w:hAnsi="Arial" w:cs="Arial"/>
                <w:sz w:val="22"/>
                <w:szCs w:val="22"/>
              </w:rPr>
              <w:t>i</w:t>
            </w:r>
            <w:proofErr w:type="spellEnd"/>
            <w:r>
              <w:rPr>
                <w:rFonts w:ascii="Arial" w:hAnsi="Arial" w:cs="Arial"/>
                <w:sz w:val="22"/>
                <w:szCs w:val="22"/>
              </w:rPr>
              <w:t xml:space="preserve">) and make the reports required under </w:t>
            </w:r>
          </w:p>
          <w:p w:rsidR="006E3536" w:rsidRDefault="006E3536" w:rsidP="006E3536">
            <w:pPr>
              <w:pStyle w:val="Bullet2"/>
              <w:numPr>
                <w:ilvl w:val="0"/>
                <w:numId w:val="0"/>
              </w:numPr>
              <w:rPr>
                <w:rFonts w:ascii="Arial" w:hAnsi="Arial" w:cs="Arial"/>
                <w:sz w:val="22"/>
                <w:szCs w:val="22"/>
              </w:rPr>
            </w:pPr>
            <w:r>
              <w:rPr>
                <w:rFonts w:ascii="Arial" w:hAnsi="Arial" w:cs="Arial"/>
                <w:sz w:val="22"/>
                <w:szCs w:val="22"/>
              </w:rPr>
              <w:t>812.150(a) (1), (2), (5), and (7); and</w:t>
            </w:r>
          </w:p>
          <w:p w:rsidR="006E3536" w:rsidRDefault="006E3536" w:rsidP="006E3536">
            <w:pPr>
              <w:pStyle w:val="Bullet2"/>
              <w:numPr>
                <w:ilvl w:val="0"/>
                <w:numId w:val="0"/>
              </w:numPr>
              <w:rPr>
                <w:rFonts w:ascii="Arial" w:hAnsi="Arial" w:cs="Arial"/>
                <w:sz w:val="22"/>
                <w:szCs w:val="22"/>
              </w:rPr>
            </w:pPr>
          </w:p>
        </w:tc>
        <w:sdt>
          <w:sdtPr>
            <w:rPr>
              <w:rFonts w:eastAsia="Times New Roman"/>
            </w:rPr>
            <w:id w:val="1748001736"/>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018515739"/>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r w:rsidR="006E3536" w:rsidTr="001B3E13">
        <w:tc>
          <w:tcPr>
            <w:tcW w:w="8298" w:type="dxa"/>
          </w:tcPr>
          <w:p w:rsidR="006E3536" w:rsidRDefault="006E3536" w:rsidP="006E3536">
            <w:pPr>
              <w:pStyle w:val="Bullet2"/>
              <w:numPr>
                <w:ilvl w:val="0"/>
                <w:numId w:val="0"/>
              </w:numPr>
              <w:rPr>
                <w:rFonts w:ascii="Arial" w:hAnsi="Arial" w:cs="Arial"/>
                <w:sz w:val="22"/>
                <w:szCs w:val="22"/>
              </w:rPr>
            </w:pPr>
            <w:r>
              <w:rPr>
                <w:rFonts w:ascii="Arial" w:hAnsi="Arial" w:cs="Arial"/>
                <w:sz w:val="22"/>
                <w:szCs w:val="22"/>
              </w:rPr>
              <w:t>The sponsor will comply with the prohibitions in 21 CFR 812.7 against promotion and other practices.</w:t>
            </w:r>
            <w:r>
              <w:rPr>
                <w:rFonts w:ascii="Arial" w:hAnsi="Arial" w:cs="Arial"/>
                <w:sz w:val="22"/>
                <w:szCs w:val="22"/>
              </w:rPr>
              <w:tab/>
            </w:r>
          </w:p>
          <w:p w:rsidR="006E3536" w:rsidRDefault="006E3536" w:rsidP="006E3536">
            <w:pPr>
              <w:pStyle w:val="Bullet2"/>
              <w:numPr>
                <w:ilvl w:val="0"/>
                <w:numId w:val="0"/>
              </w:numPr>
              <w:rPr>
                <w:rFonts w:ascii="Arial" w:hAnsi="Arial" w:cs="Arial"/>
                <w:sz w:val="22"/>
                <w:szCs w:val="22"/>
              </w:rPr>
            </w:pPr>
          </w:p>
        </w:tc>
        <w:sdt>
          <w:sdtPr>
            <w:rPr>
              <w:rFonts w:eastAsia="Times New Roman"/>
            </w:rPr>
            <w:id w:val="-956715459"/>
            <w14:checkbox>
              <w14:checked w14:val="0"/>
              <w14:checkedState w14:val="2612" w14:font="MS Gothic"/>
              <w14:uncheckedState w14:val="2610" w14:font="MS Gothic"/>
            </w14:checkbox>
          </w:sdtPr>
          <w:sdtContent>
            <w:tc>
              <w:tcPr>
                <w:tcW w:w="630" w:type="dxa"/>
                <w:shd w:val="clear" w:color="auto" w:fill="auto"/>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sdt>
          <w:sdtPr>
            <w:rPr>
              <w:rFonts w:eastAsia="Times New Roman"/>
            </w:rPr>
            <w:id w:val="-1392340743"/>
            <w14:checkbox>
              <w14:checked w14:val="0"/>
              <w14:checkedState w14:val="2612" w14:font="MS Gothic"/>
              <w14:uncheckedState w14:val="2610" w14:font="MS Gothic"/>
            </w14:checkbox>
          </w:sdtPr>
          <w:sdtContent>
            <w:tc>
              <w:tcPr>
                <w:tcW w:w="648" w:type="dxa"/>
                <w:shd w:val="clear" w:color="auto" w:fill="E5B8B7" w:themeFill="accent2" w:themeFillTint="66"/>
              </w:tcPr>
              <w:p w:rsidR="006E3536" w:rsidRDefault="006E3536" w:rsidP="001B3E13">
                <w:pPr>
                  <w:spacing w:after="300"/>
                  <w:textAlignment w:val="baseline"/>
                  <w:rPr>
                    <w:rFonts w:eastAsia="Times New Roman"/>
                  </w:rPr>
                </w:pPr>
                <w:r>
                  <w:rPr>
                    <w:rFonts w:ascii="MS Gothic" w:eastAsia="MS Gothic" w:hAnsi="MS Gothic" w:hint="eastAsia"/>
                  </w:rPr>
                  <w:t>☐</w:t>
                </w:r>
              </w:p>
            </w:tc>
          </w:sdtContent>
        </w:sdt>
      </w:tr>
    </w:tbl>
    <w:p w:rsidR="006507DF" w:rsidRDefault="006507DF" w:rsidP="006507DF">
      <w:pPr>
        <w:rPr>
          <w:rFonts w:ascii="Arial" w:hAnsi="Arial" w:cs="Arial"/>
          <w:i/>
          <w:sz w:val="22"/>
          <w:szCs w:val="22"/>
        </w:rPr>
      </w:pPr>
    </w:p>
    <w:p w:rsidR="006507DF" w:rsidRDefault="006507DF" w:rsidP="006E3536">
      <w:pPr>
        <w:spacing w:after="0" w:line="240" w:lineRule="auto"/>
        <w:ind w:left="504"/>
      </w:pPr>
    </w:p>
    <w:p w:rsidR="0084083C" w:rsidRDefault="0084083C" w:rsidP="00D4245C">
      <w:pPr>
        <w:shd w:val="clear" w:color="auto" w:fill="FFFFFF"/>
        <w:spacing w:after="300" w:line="240" w:lineRule="auto"/>
        <w:textAlignment w:val="baseline"/>
        <w:rPr>
          <w:rFonts w:eastAsia="Times New Roman"/>
        </w:rPr>
      </w:pPr>
    </w:p>
    <w:p w:rsidR="0084083C" w:rsidRDefault="0084083C" w:rsidP="00D4245C">
      <w:pPr>
        <w:shd w:val="clear" w:color="auto" w:fill="FFFFFF"/>
        <w:spacing w:after="300" w:line="240" w:lineRule="auto"/>
        <w:textAlignment w:val="baseline"/>
        <w:rPr>
          <w:rFonts w:eastAsia="Times New Roman"/>
        </w:rPr>
      </w:pPr>
    </w:p>
    <w:p w:rsidR="0084083C" w:rsidRPr="00CF3AF5" w:rsidRDefault="0084083C" w:rsidP="00D4245C">
      <w:pPr>
        <w:shd w:val="clear" w:color="auto" w:fill="FFFFFF"/>
        <w:spacing w:after="300" w:line="240" w:lineRule="auto"/>
        <w:textAlignment w:val="baseline"/>
        <w:rPr>
          <w:rFonts w:eastAsia="Times New Roman"/>
        </w:rPr>
      </w:pPr>
    </w:p>
    <w:p w:rsidR="0084083C" w:rsidRDefault="0084083C"/>
    <w:p w:rsidR="00D4245C" w:rsidRDefault="00D4245C"/>
    <w:sectPr w:rsidR="00D42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2159F"/>
    <w:multiLevelType w:val="hybridMultilevel"/>
    <w:tmpl w:val="AE50C924"/>
    <w:lvl w:ilvl="0" w:tplc="04090001">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1">
    <w:nsid w:val="31BA745D"/>
    <w:multiLevelType w:val="hybridMultilevel"/>
    <w:tmpl w:val="C7D001BC"/>
    <w:lvl w:ilvl="0" w:tplc="27544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F1874"/>
    <w:multiLevelType w:val="multilevel"/>
    <w:tmpl w:val="C39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cs="Times New Roman"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51196D58"/>
    <w:multiLevelType w:val="hybridMultilevel"/>
    <w:tmpl w:val="2108A35A"/>
    <w:lvl w:ilvl="0" w:tplc="04090001">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5">
    <w:nsid w:val="5A9E24B5"/>
    <w:multiLevelType w:val="hybridMultilevel"/>
    <w:tmpl w:val="BF78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51E72"/>
    <w:multiLevelType w:val="hybridMultilevel"/>
    <w:tmpl w:val="537C1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45C"/>
    <w:rsid w:val="00031F6D"/>
    <w:rsid w:val="001B3E13"/>
    <w:rsid w:val="006507DF"/>
    <w:rsid w:val="006A4AED"/>
    <w:rsid w:val="006E3536"/>
    <w:rsid w:val="0084083C"/>
    <w:rsid w:val="0099219C"/>
    <w:rsid w:val="00A4652A"/>
    <w:rsid w:val="00CA5E9B"/>
    <w:rsid w:val="00D4245C"/>
    <w:rsid w:val="00D9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45C"/>
    <w:rPr>
      <w:color w:val="0000FF"/>
      <w:u w:val="single"/>
    </w:rPr>
  </w:style>
  <w:style w:type="table" w:styleId="TableGrid">
    <w:name w:val="Table Grid"/>
    <w:basedOn w:val="TableNormal"/>
    <w:uiPriority w:val="59"/>
    <w:rsid w:val="00840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83C"/>
    <w:rPr>
      <w:rFonts w:ascii="Tahoma" w:hAnsi="Tahoma" w:cs="Tahoma"/>
      <w:sz w:val="16"/>
      <w:szCs w:val="16"/>
    </w:rPr>
  </w:style>
  <w:style w:type="paragraph" w:customStyle="1" w:styleId="Bullet1">
    <w:name w:val="Bullet 1"/>
    <w:basedOn w:val="Normal"/>
    <w:rsid w:val="006507DF"/>
    <w:pPr>
      <w:numPr>
        <w:numId w:val="2"/>
      </w:numPr>
      <w:spacing w:after="0" w:line="240" w:lineRule="auto"/>
    </w:pPr>
    <w:rPr>
      <w:rFonts w:eastAsia="Times New Roman"/>
      <w:szCs w:val="20"/>
    </w:rPr>
  </w:style>
  <w:style w:type="paragraph" w:customStyle="1" w:styleId="Bullet2">
    <w:name w:val="Bullet 2"/>
    <w:basedOn w:val="Bullet1"/>
    <w:rsid w:val="006507DF"/>
    <w:pPr>
      <w:numPr>
        <w:ilvl w:val="1"/>
      </w:numPr>
    </w:pPr>
  </w:style>
  <w:style w:type="paragraph" w:customStyle="1" w:styleId="Bullet3">
    <w:name w:val="Bullet 3"/>
    <w:basedOn w:val="Bullet1"/>
    <w:rsid w:val="006507DF"/>
    <w:pPr>
      <w:numPr>
        <w:ilvl w:val="2"/>
      </w:numPr>
      <w:ind w:left="1037"/>
    </w:pPr>
  </w:style>
  <w:style w:type="paragraph" w:customStyle="1" w:styleId="Bullet4">
    <w:name w:val="Bullet 4"/>
    <w:basedOn w:val="Bullet1"/>
    <w:rsid w:val="006507DF"/>
    <w:pPr>
      <w:numPr>
        <w:ilvl w:val="3"/>
      </w:numPr>
      <w:ind w:left="13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45C"/>
    <w:rPr>
      <w:color w:val="0000FF"/>
      <w:u w:val="single"/>
    </w:rPr>
  </w:style>
  <w:style w:type="table" w:styleId="TableGrid">
    <w:name w:val="Table Grid"/>
    <w:basedOn w:val="TableNormal"/>
    <w:uiPriority w:val="59"/>
    <w:rsid w:val="00840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83C"/>
    <w:rPr>
      <w:rFonts w:ascii="Tahoma" w:hAnsi="Tahoma" w:cs="Tahoma"/>
      <w:sz w:val="16"/>
      <w:szCs w:val="16"/>
    </w:rPr>
  </w:style>
  <w:style w:type="paragraph" w:customStyle="1" w:styleId="Bullet1">
    <w:name w:val="Bullet 1"/>
    <w:basedOn w:val="Normal"/>
    <w:rsid w:val="006507DF"/>
    <w:pPr>
      <w:numPr>
        <w:numId w:val="2"/>
      </w:numPr>
      <w:spacing w:after="0" w:line="240" w:lineRule="auto"/>
    </w:pPr>
    <w:rPr>
      <w:rFonts w:eastAsia="Times New Roman"/>
      <w:szCs w:val="20"/>
    </w:rPr>
  </w:style>
  <w:style w:type="paragraph" w:customStyle="1" w:styleId="Bullet2">
    <w:name w:val="Bullet 2"/>
    <w:basedOn w:val="Bullet1"/>
    <w:rsid w:val="006507DF"/>
    <w:pPr>
      <w:numPr>
        <w:ilvl w:val="1"/>
      </w:numPr>
    </w:pPr>
  </w:style>
  <w:style w:type="paragraph" w:customStyle="1" w:styleId="Bullet3">
    <w:name w:val="Bullet 3"/>
    <w:basedOn w:val="Bullet1"/>
    <w:rsid w:val="006507DF"/>
    <w:pPr>
      <w:numPr>
        <w:ilvl w:val="2"/>
      </w:numPr>
      <w:ind w:left="1037"/>
    </w:pPr>
  </w:style>
  <w:style w:type="paragraph" w:customStyle="1" w:styleId="Bullet4">
    <w:name w:val="Bullet 4"/>
    <w:basedOn w:val="Bullet1"/>
    <w:rsid w:val="006507DF"/>
    <w:pPr>
      <w:numPr>
        <w:ilvl w:val="3"/>
      </w:numPr>
      <w:ind w:left="1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Womans</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SEIDEMANN,ERICKA L</dc:creator>
  <cp:lastModifiedBy>SEIDEMANN,ERICKA L</cp:lastModifiedBy>
  <cp:revision>4</cp:revision>
  <dcterms:created xsi:type="dcterms:W3CDTF">2021-07-09T16:33:00Z</dcterms:created>
  <dcterms:modified xsi:type="dcterms:W3CDTF">2021-07-09T16:49:00Z</dcterms:modified>
</cp:coreProperties>
</file>